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1A190" w14:textId="77777777" w:rsidR="00F71C14" w:rsidRPr="00806BB7" w:rsidRDefault="00F71C14" w:rsidP="00F71C14">
      <w:pPr>
        <w:rPr>
          <w:rFonts w:cs="Times New Roman"/>
          <w:szCs w:val="24"/>
        </w:rPr>
      </w:pPr>
      <w:bookmarkStart w:id="0" w:name="_GoBack"/>
      <w:bookmarkEnd w:id="0"/>
    </w:p>
    <w:p w14:paraId="09200D66" w14:textId="77777777" w:rsidR="00F71C14" w:rsidRPr="00806BB7" w:rsidRDefault="00F71C14" w:rsidP="00F71C14">
      <w:pPr>
        <w:rPr>
          <w:rFonts w:cs="Times New Roman"/>
          <w:szCs w:val="24"/>
        </w:rPr>
      </w:pPr>
    </w:p>
    <w:p w14:paraId="2DAEADBD" w14:textId="77777777" w:rsidR="00F71C14" w:rsidRPr="00806BB7" w:rsidRDefault="00F71C14" w:rsidP="00F71C14">
      <w:pPr>
        <w:pStyle w:val="Heading1"/>
        <w:rPr>
          <w:szCs w:val="24"/>
        </w:rPr>
      </w:pPr>
      <w:bookmarkStart w:id="1" w:name="_Toc39065426"/>
      <w:bookmarkStart w:id="2" w:name="_Hlk47101025"/>
      <w:r w:rsidRPr="00806BB7">
        <w:rPr>
          <w:szCs w:val="24"/>
        </w:rPr>
        <w:t>Chasing the Anchor:</w:t>
      </w:r>
      <w:bookmarkEnd w:id="1"/>
    </w:p>
    <w:p w14:paraId="214C0188" w14:textId="77777777" w:rsidR="00F71C14" w:rsidRPr="00806BB7" w:rsidRDefault="00F71C14" w:rsidP="00F71C14">
      <w:pPr>
        <w:jc w:val="center"/>
        <w:rPr>
          <w:rFonts w:cs="Times New Roman"/>
          <w:szCs w:val="24"/>
        </w:rPr>
      </w:pPr>
      <w:r w:rsidRPr="00806BB7">
        <w:rPr>
          <w:rFonts w:cs="Times New Roman"/>
          <w:b/>
          <w:szCs w:val="24"/>
        </w:rPr>
        <w:t>A Systematic Review and Meta-analysis of Perceptual Anchoring Deficits in Developmental Dyslexia</w:t>
      </w:r>
    </w:p>
    <w:bookmarkEnd w:id="2"/>
    <w:p w14:paraId="7BE37806" w14:textId="77777777" w:rsidR="00F71C14" w:rsidRPr="00806BB7" w:rsidRDefault="00F71C14" w:rsidP="00F71C14">
      <w:pPr>
        <w:jc w:val="center"/>
        <w:rPr>
          <w:rFonts w:cs="Times New Roman"/>
          <w:szCs w:val="24"/>
        </w:rPr>
      </w:pPr>
    </w:p>
    <w:p w14:paraId="6080722B" w14:textId="77777777" w:rsidR="00F71C14" w:rsidRPr="00806BB7" w:rsidRDefault="00F71C14" w:rsidP="00F71C14">
      <w:pPr>
        <w:jc w:val="center"/>
        <w:rPr>
          <w:rFonts w:cs="Times New Roman"/>
          <w:szCs w:val="24"/>
        </w:rPr>
      </w:pPr>
      <w:r w:rsidRPr="00806BB7">
        <w:rPr>
          <w:rFonts w:cs="Times New Roman"/>
          <w:szCs w:val="24"/>
        </w:rPr>
        <w:t>Kurt D. Shulver</w:t>
      </w:r>
      <w:r w:rsidRPr="00806BB7">
        <w:rPr>
          <w:rFonts w:cs="Times New Roman"/>
          <w:szCs w:val="24"/>
          <w:vertAlign w:val="superscript"/>
        </w:rPr>
        <w:t>1</w:t>
      </w:r>
      <w:r w:rsidRPr="00806BB7">
        <w:rPr>
          <w:rFonts w:cs="Times New Roman"/>
          <w:szCs w:val="24"/>
        </w:rPr>
        <w:t>, and Nicholas A. Badcock</w:t>
      </w:r>
      <w:r w:rsidRPr="00806BB7">
        <w:rPr>
          <w:rFonts w:cs="Times New Roman"/>
          <w:szCs w:val="24"/>
          <w:vertAlign w:val="superscript"/>
        </w:rPr>
        <w:t>2-3</w:t>
      </w:r>
    </w:p>
    <w:p w14:paraId="3AA8BC5B" w14:textId="77777777" w:rsidR="00F71C14" w:rsidRPr="00806BB7" w:rsidRDefault="00F71C14" w:rsidP="00F71C14">
      <w:pPr>
        <w:jc w:val="center"/>
        <w:rPr>
          <w:rFonts w:cs="Times New Roman"/>
          <w:szCs w:val="24"/>
        </w:rPr>
      </w:pPr>
      <w:r w:rsidRPr="00806BB7">
        <w:rPr>
          <w:rFonts w:cs="Times New Roman"/>
          <w:szCs w:val="24"/>
          <w:vertAlign w:val="superscript"/>
        </w:rPr>
        <w:t>1</w:t>
      </w:r>
      <w:r w:rsidRPr="00806BB7">
        <w:rPr>
          <w:rFonts w:cs="Times New Roman"/>
          <w:szCs w:val="24"/>
        </w:rPr>
        <w:t>Department of Psychology, Macquarie University, Sydney, Australia</w:t>
      </w:r>
    </w:p>
    <w:p w14:paraId="764EB5A3" w14:textId="77777777" w:rsidR="00F71C14" w:rsidRPr="00806BB7" w:rsidRDefault="00F71C14" w:rsidP="00F71C14">
      <w:pPr>
        <w:jc w:val="center"/>
        <w:rPr>
          <w:rFonts w:cs="Times New Roman"/>
          <w:szCs w:val="24"/>
        </w:rPr>
      </w:pPr>
      <w:r w:rsidRPr="00806BB7">
        <w:rPr>
          <w:rFonts w:cs="Times New Roman"/>
          <w:szCs w:val="24"/>
          <w:vertAlign w:val="superscript"/>
        </w:rPr>
        <w:t>2</w:t>
      </w:r>
      <w:r w:rsidRPr="00806BB7">
        <w:rPr>
          <w:rFonts w:cs="Times New Roman"/>
          <w:szCs w:val="24"/>
        </w:rPr>
        <w:t>School of Psychological Sciences, University of Western Australia, Perth, Australia</w:t>
      </w:r>
    </w:p>
    <w:p w14:paraId="449B3277" w14:textId="77777777" w:rsidR="00F71C14" w:rsidRPr="00806BB7" w:rsidRDefault="00F71C14" w:rsidP="00F71C14">
      <w:pPr>
        <w:jc w:val="center"/>
        <w:rPr>
          <w:rFonts w:cs="Times New Roman"/>
          <w:szCs w:val="24"/>
        </w:rPr>
      </w:pPr>
      <w:r w:rsidRPr="00806BB7">
        <w:rPr>
          <w:rFonts w:cs="Times New Roman"/>
          <w:szCs w:val="24"/>
          <w:vertAlign w:val="superscript"/>
        </w:rPr>
        <w:t>3</w:t>
      </w:r>
      <w:r w:rsidRPr="00806BB7">
        <w:rPr>
          <w:rFonts w:cs="Times New Roman"/>
          <w:szCs w:val="24"/>
        </w:rPr>
        <w:t>Department of Cognitive Science, Macquarie University, Sydney, Australia</w:t>
      </w:r>
    </w:p>
    <w:p w14:paraId="10EBC9A3" w14:textId="77777777" w:rsidR="00F71C14" w:rsidRPr="00806BB7" w:rsidRDefault="00F71C14" w:rsidP="00F71C14">
      <w:pPr>
        <w:jc w:val="center"/>
        <w:rPr>
          <w:rFonts w:cs="Times New Roman"/>
          <w:szCs w:val="24"/>
        </w:rPr>
      </w:pPr>
    </w:p>
    <w:p w14:paraId="40A333DA" w14:textId="77777777" w:rsidR="00F71C14" w:rsidRPr="00806BB7" w:rsidRDefault="00F71C14" w:rsidP="00F71C14">
      <w:pPr>
        <w:jc w:val="center"/>
        <w:rPr>
          <w:rFonts w:cs="Times New Roman"/>
          <w:szCs w:val="24"/>
        </w:rPr>
      </w:pPr>
    </w:p>
    <w:p w14:paraId="50091088" w14:textId="77777777" w:rsidR="00F71C14" w:rsidRPr="00806BB7" w:rsidRDefault="00F71C14" w:rsidP="00F71C14">
      <w:pPr>
        <w:jc w:val="center"/>
        <w:rPr>
          <w:rFonts w:cs="Times New Roman"/>
          <w:b/>
          <w:szCs w:val="24"/>
        </w:rPr>
      </w:pPr>
    </w:p>
    <w:p w14:paraId="06CBFF30" w14:textId="77777777" w:rsidR="00F71C14" w:rsidRPr="00806BB7" w:rsidRDefault="00F71C14" w:rsidP="00F71C14">
      <w:pPr>
        <w:jc w:val="center"/>
        <w:rPr>
          <w:rFonts w:cs="Times New Roman"/>
          <w:b/>
          <w:szCs w:val="24"/>
        </w:rPr>
      </w:pPr>
    </w:p>
    <w:p w14:paraId="5B097661" w14:textId="77777777" w:rsidR="00F71C14" w:rsidRPr="00806BB7" w:rsidRDefault="00F71C14" w:rsidP="00F71C14">
      <w:pPr>
        <w:jc w:val="center"/>
        <w:rPr>
          <w:rFonts w:cs="Times New Roman"/>
          <w:b/>
          <w:szCs w:val="24"/>
        </w:rPr>
      </w:pPr>
    </w:p>
    <w:p w14:paraId="150F4BF2" w14:textId="77777777" w:rsidR="00F71C14" w:rsidRPr="00806BB7" w:rsidRDefault="00F71C14" w:rsidP="00F71C14">
      <w:pPr>
        <w:jc w:val="center"/>
        <w:rPr>
          <w:rFonts w:cs="Times New Roman"/>
          <w:b/>
          <w:szCs w:val="24"/>
        </w:rPr>
      </w:pPr>
      <w:r w:rsidRPr="00806BB7">
        <w:rPr>
          <w:rFonts w:cs="Times New Roman"/>
          <w:b/>
          <w:szCs w:val="24"/>
        </w:rPr>
        <w:t>Author Note</w:t>
      </w:r>
    </w:p>
    <w:p w14:paraId="06E13B30" w14:textId="77777777" w:rsidR="00F71C14" w:rsidRPr="00806BB7" w:rsidRDefault="00F71C14" w:rsidP="00F71C14">
      <w:pPr>
        <w:rPr>
          <w:rFonts w:cs="Times New Roman"/>
          <w:szCs w:val="24"/>
        </w:rPr>
      </w:pPr>
      <w:r w:rsidRPr="00806BB7">
        <w:rPr>
          <w:rFonts w:cs="Times New Roman"/>
          <w:szCs w:val="24"/>
        </w:rPr>
        <w:t xml:space="preserve">Kurt D. Shulver </w:t>
      </w:r>
      <w:r w:rsidRPr="00806BB7">
        <w:rPr>
          <w:rFonts w:cs="Times New Roman"/>
          <w:color w:val="000000"/>
          <w:szCs w:val="24"/>
        </w:rPr>
        <w:t>https://orcid.org/0000-0003-4962-7368</w:t>
      </w:r>
    </w:p>
    <w:p w14:paraId="09A863BA" w14:textId="77777777" w:rsidR="00F71C14" w:rsidRPr="00806BB7" w:rsidRDefault="00F71C14" w:rsidP="00F71C14">
      <w:pPr>
        <w:rPr>
          <w:rFonts w:cs="Times New Roman"/>
          <w:szCs w:val="24"/>
        </w:rPr>
      </w:pPr>
      <w:r w:rsidRPr="00806BB7">
        <w:rPr>
          <w:rFonts w:cs="Times New Roman"/>
          <w:szCs w:val="24"/>
        </w:rPr>
        <w:t>Nicholas A</w:t>
      </w:r>
      <w:r>
        <w:rPr>
          <w:rFonts w:cs="Times New Roman"/>
          <w:szCs w:val="24"/>
        </w:rPr>
        <w:t>.</w:t>
      </w:r>
      <w:r w:rsidRPr="00806BB7">
        <w:rPr>
          <w:rFonts w:cs="Times New Roman"/>
          <w:szCs w:val="24"/>
        </w:rPr>
        <w:t xml:space="preserve"> Badcock https://orcid.org/0000-0001-6862-4694</w:t>
      </w:r>
    </w:p>
    <w:p w14:paraId="1C068E65" w14:textId="77777777" w:rsidR="00F71C14" w:rsidRPr="00806BB7" w:rsidRDefault="00F71C14" w:rsidP="00F71C14">
      <w:pPr>
        <w:rPr>
          <w:rFonts w:cs="Times New Roman"/>
          <w:szCs w:val="24"/>
        </w:rPr>
      </w:pPr>
      <w:r>
        <w:rPr>
          <w:rFonts w:cs="Times New Roman"/>
          <w:szCs w:val="24"/>
        </w:rPr>
        <w:t>Declarations of interest: none</w:t>
      </w:r>
    </w:p>
    <w:p w14:paraId="42917888" w14:textId="77777777" w:rsidR="00F71C14" w:rsidRDefault="00F71C14" w:rsidP="00F71C14">
      <w:pPr>
        <w:rPr>
          <w:szCs w:val="24"/>
        </w:rPr>
      </w:pPr>
      <w:r w:rsidRPr="00806BB7">
        <w:rPr>
          <w:szCs w:val="24"/>
        </w:rPr>
        <w:t xml:space="preserve">Correspondence concerning this article should be addressed to Kurt D Shulver, Australian Hearing Hub (Macquarie University), 16 University Avenue, NSW 2109. Email: kurt.shulver@hdr.mq.edu.au </w:t>
      </w:r>
    </w:p>
    <w:p w14:paraId="61C9C9F4" w14:textId="77777777" w:rsidR="00F71C14" w:rsidRPr="008B7327" w:rsidRDefault="00F71C14" w:rsidP="00F71C14">
      <w:pPr>
        <w:ind w:firstLine="0"/>
        <w:rPr>
          <w:szCs w:val="24"/>
        </w:rPr>
      </w:pPr>
      <w:r w:rsidRPr="00806BB7">
        <w:rPr>
          <w:rFonts w:cs="Times New Roman"/>
          <w:szCs w:val="24"/>
          <w:vertAlign w:val="superscript"/>
        </w:rPr>
        <w:t>2</w:t>
      </w:r>
      <w:r>
        <w:rPr>
          <w:rFonts w:cs="Times New Roman"/>
          <w:szCs w:val="24"/>
          <w:vertAlign w:val="superscript"/>
        </w:rPr>
        <w:t xml:space="preserve"> </w:t>
      </w:r>
      <w:r>
        <w:rPr>
          <w:rFonts w:cs="Times New Roman"/>
          <w:szCs w:val="24"/>
        </w:rPr>
        <w:t>NAB’s present address.</w:t>
      </w:r>
    </w:p>
    <w:p w14:paraId="0C6D8BD1" w14:textId="77777777" w:rsidR="00F71C14" w:rsidRDefault="00F71C14" w:rsidP="00F71C14">
      <w:pPr>
        <w:pStyle w:val="Heading1"/>
        <w:jc w:val="left"/>
      </w:pPr>
    </w:p>
    <w:p w14:paraId="5A7629B5" w14:textId="77777777" w:rsidR="00F71C14" w:rsidRDefault="00F71C14">
      <w:pPr>
        <w:spacing w:after="160" w:line="259" w:lineRule="auto"/>
        <w:ind w:firstLine="0"/>
        <w:rPr>
          <w:rFonts w:eastAsiaTheme="majorEastAsia" w:cstheme="majorBidi"/>
          <w:b/>
          <w:szCs w:val="32"/>
        </w:rPr>
      </w:pPr>
      <w:r>
        <w:br w:type="page"/>
      </w:r>
    </w:p>
    <w:p w14:paraId="1DFDC727" w14:textId="61998AFE" w:rsidR="0080728B" w:rsidRPr="00806BB7" w:rsidRDefault="0080728B" w:rsidP="00F60D59">
      <w:pPr>
        <w:pStyle w:val="Heading1"/>
      </w:pPr>
      <w:r w:rsidRPr="00806BB7">
        <w:lastRenderedPageBreak/>
        <w:t>Abstract</w:t>
      </w:r>
    </w:p>
    <w:p w14:paraId="5B8C8C46" w14:textId="4C3BAA5C" w:rsidR="006C0A74" w:rsidRPr="00806BB7" w:rsidRDefault="006C0A74" w:rsidP="0080728B">
      <w:pPr>
        <w:rPr>
          <w:rFonts w:cs="Times New Roman"/>
          <w:szCs w:val="24"/>
        </w:rPr>
      </w:pPr>
      <w:r w:rsidRPr="00806BB7">
        <w:rPr>
          <w:rFonts w:cs="Times New Roman"/>
          <w:szCs w:val="24"/>
        </w:rPr>
        <w:t xml:space="preserve">We report the results of a systematic review and meta-analysis investigating the relationship between perceptual anchoring and dyslexia. Our goal was to assess the direction and degree of </w:t>
      </w:r>
      <w:r w:rsidR="00CC417A">
        <w:rPr>
          <w:rFonts w:cs="Times New Roman"/>
          <w:szCs w:val="24"/>
        </w:rPr>
        <w:t>effect</w:t>
      </w:r>
      <w:r w:rsidR="00CC417A" w:rsidRPr="00806BB7">
        <w:rPr>
          <w:rFonts w:cs="Times New Roman"/>
          <w:szCs w:val="24"/>
        </w:rPr>
        <w:t xml:space="preserve"> </w:t>
      </w:r>
      <w:r w:rsidRPr="00806BB7">
        <w:rPr>
          <w:rFonts w:cs="Times New Roman"/>
          <w:szCs w:val="24"/>
        </w:rPr>
        <w:t>between perceptual anchoring an</w:t>
      </w:r>
      <w:r w:rsidR="002A4BA2" w:rsidRPr="00806BB7">
        <w:rPr>
          <w:rFonts w:cs="Times New Roman"/>
          <w:szCs w:val="24"/>
        </w:rPr>
        <w:t>d reading ability</w:t>
      </w:r>
      <w:r w:rsidRPr="00806BB7">
        <w:rPr>
          <w:rFonts w:cs="Times New Roman"/>
          <w:szCs w:val="24"/>
        </w:rPr>
        <w:t xml:space="preserve"> in typical and atypical (dyslexi</w:t>
      </w:r>
      <w:r w:rsidR="00D23899" w:rsidRPr="00806BB7">
        <w:rPr>
          <w:rFonts w:cs="Times New Roman"/>
          <w:szCs w:val="24"/>
        </w:rPr>
        <w:t>c</w:t>
      </w:r>
      <w:r w:rsidRPr="00806BB7">
        <w:rPr>
          <w:rFonts w:cs="Times New Roman"/>
          <w:szCs w:val="24"/>
        </w:rPr>
        <w:t xml:space="preserve">) readers. </w:t>
      </w:r>
      <w:r w:rsidR="002A4BA2" w:rsidRPr="00806BB7">
        <w:rPr>
          <w:rFonts w:cs="Times New Roman"/>
          <w:szCs w:val="24"/>
        </w:rPr>
        <w:t xml:space="preserve">We performed a literature search of experiments explicitly assessing perceptual anchoring and reading ability using PsycInfo (Ovid, 1860 to 2020), MEDLINE (Ovid, 1860 to 2019), EMBASE (Ovid, 1883 to 2019), and PubMed for all available years up to June (2020). Our eligibility criteria consisted of English-language articles and, at minimum, one experimental group identified </w:t>
      </w:r>
      <w:r w:rsidR="00BB2785" w:rsidRPr="00806BB7">
        <w:rPr>
          <w:rFonts w:cs="Times New Roman"/>
          <w:szCs w:val="24"/>
        </w:rPr>
        <w:t xml:space="preserve">as dyslexic - either by reading assessment at the time, or by previous diagnosis. </w:t>
      </w:r>
      <w:r w:rsidR="003A21F9" w:rsidRPr="00806BB7">
        <w:rPr>
          <w:rFonts w:cs="Times New Roman"/>
          <w:szCs w:val="24"/>
        </w:rPr>
        <w:t>We assessed for risk of bias using</w:t>
      </w:r>
      <w:r w:rsidR="00095E48" w:rsidRPr="00806BB7">
        <w:rPr>
          <w:rFonts w:cs="Times New Roman"/>
          <w:szCs w:val="24"/>
        </w:rPr>
        <w:t xml:space="preserve"> an</w:t>
      </w:r>
      <w:r w:rsidR="003A21F9" w:rsidRPr="00806BB7">
        <w:rPr>
          <w:rFonts w:cs="Times New Roman"/>
          <w:szCs w:val="24"/>
        </w:rPr>
        <w:t xml:space="preserve"> adapted version of the Newcastle-Ottawa scale.</w:t>
      </w:r>
      <w:r w:rsidR="0048586F" w:rsidRPr="00806BB7">
        <w:rPr>
          <w:rFonts w:cs="Times New Roman"/>
          <w:szCs w:val="24"/>
        </w:rPr>
        <w:t xml:space="preserve"> Six studies were included in this review, but only five (n = 280</w:t>
      </w:r>
      <w:r w:rsidR="00D23899" w:rsidRPr="00806BB7">
        <w:rPr>
          <w:rFonts w:cs="Times New Roman"/>
          <w:szCs w:val="24"/>
        </w:rPr>
        <w:t xml:space="preserve"> participants</w:t>
      </w:r>
      <w:r w:rsidR="0048586F" w:rsidRPr="00806BB7">
        <w:rPr>
          <w:rFonts w:cs="Times New Roman"/>
          <w:szCs w:val="24"/>
        </w:rPr>
        <w:t xml:space="preserve">) were </w:t>
      </w:r>
      <w:r w:rsidR="00D23899" w:rsidRPr="00806BB7">
        <w:rPr>
          <w:rFonts w:cs="Times New Roman"/>
          <w:szCs w:val="24"/>
        </w:rPr>
        <w:t>included in the</w:t>
      </w:r>
      <w:r w:rsidR="00155B62" w:rsidRPr="00806BB7">
        <w:rPr>
          <w:rFonts w:cs="Times New Roman"/>
          <w:szCs w:val="24"/>
        </w:rPr>
        <w:t xml:space="preserve"> meta-analys</w:t>
      </w:r>
      <w:r w:rsidR="00D23899" w:rsidRPr="00806BB7">
        <w:rPr>
          <w:rFonts w:cs="Times New Roman"/>
          <w:szCs w:val="24"/>
        </w:rPr>
        <w:t>is</w:t>
      </w:r>
      <w:r w:rsidR="00C4474D" w:rsidRPr="00806BB7">
        <w:rPr>
          <w:rFonts w:cs="Times New Roman"/>
          <w:szCs w:val="24"/>
        </w:rPr>
        <w:t xml:space="preserve"> (we were unable to access the necessary data for one study)</w:t>
      </w:r>
      <w:r w:rsidR="0048586F" w:rsidRPr="00806BB7">
        <w:rPr>
          <w:rFonts w:cs="Times New Roman"/>
          <w:szCs w:val="24"/>
        </w:rPr>
        <w:t>.</w:t>
      </w:r>
      <w:r w:rsidR="00E85C23" w:rsidRPr="00806BB7">
        <w:rPr>
          <w:rFonts w:cs="Times New Roman"/>
          <w:bCs/>
          <w:iCs/>
          <w:szCs w:val="24"/>
        </w:rPr>
        <w:t xml:space="preserve">The overall effect was </w:t>
      </w:r>
      <w:r w:rsidR="00556086" w:rsidRPr="00806BB7">
        <w:rPr>
          <w:rFonts w:cs="Times New Roman"/>
          <w:bCs/>
          <w:iCs/>
          <w:szCs w:val="24"/>
        </w:rPr>
        <w:t>negative</w:t>
      </w:r>
      <w:r w:rsidR="00E85C23" w:rsidRPr="00806BB7">
        <w:rPr>
          <w:rFonts w:cs="Times New Roman"/>
          <w:bCs/>
          <w:iCs/>
          <w:szCs w:val="24"/>
        </w:rPr>
        <w:t xml:space="preserve">, </w:t>
      </w:r>
      <w:r w:rsidR="004F4E2E">
        <w:rPr>
          <w:rFonts w:cs="Times New Roman"/>
          <w:bCs/>
          <w:iCs/>
          <w:szCs w:val="24"/>
        </w:rPr>
        <w:t>large</w:t>
      </w:r>
      <w:r w:rsidR="004F4E2E" w:rsidRPr="00806BB7">
        <w:rPr>
          <w:rFonts w:cs="Times New Roman"/>
          <w:bCs/>
          <w:iCs/>
          <w:szCs w:val="24"/>
        </w:rPr>
        <w:t xml:space="preserve"> </w:t>
      </w:r>
      <w:r w:rsidR="00E85C23" w:rsidRPr="00806BB7">
        <w:rPr>
          <w:rFonts w:cs="Times New Roman"/>
          <w:bCs/>
          <w:iCs/>
          <w:szCs w:val="24"/>
        </w:rPr>
        <w:t xml:space="preserve">and statistically significant; </w:t>
      </w:r>
      <w:r w:rsidR="00E85C23" w:rsidRPr="00806BB7">
        <w:rPr>
          <w:rFonts w:cs="Times New Roman"/>
          <w:bCs/>
          <w:i/>
          <w:iCs/>
          <w:szCs w:val="24"/>
        </w:rPr>
        <w:t>g</w:t>
      </w:r>
      <w:r w:rsidR="00E85C23" w:rsidRPr="00806BB7">
        <w:rPr>
          <w:rFonts w:cs="Times New Roman"/>
          <w:bCs/>
          <w:iCs/>
          <w:szCs w:val="24"/>
        </w:rPr>
        <w:t xml:space="preserve"> = </w:t>
      </w:r>
      <w:r w:rsidR="00A8778E">
        <w:rPr>
          <w:rFonts w:cs="Times New Roman"/>
          <w:bCs/>
          <w:iCs/>
          <w:szCs w:val="24"/>
        </w:rPr>
        <w:t>-</w:t>
      </w:r>
      <w:r w:rsidR="00E85C23" w:rsidRPr="00806BB7">
        <w:rPr>
          <w:rFonts w:cs="Times New Roman"/>
          <w:bCs/>
          <w:iCs/>
          <w:szCs w:val="24"/>
        </w:rPr>
        <w:t>0.87, 95% CI [</w:t>
      </w:r>
      <w:r w:rsidR="00A8778E">
        <w:rPr>
          <w:rFonts w:cs="Times New Roman"/>
          <w:bCs/>
          <w:iCs/>
          <w:szCs w:val="24"/>
        </w:rPr>
        <w:t xml:space="preserve">-1.47, </w:t>
      </w:r>
      <w:r w:rsidR="00E85C23" w:rsidRPr="00806BB7">
        <w:rPr>
          <w:rFonts w:cs="Times New Roman"/>
          <w:bCs/>
          <w:iCs/>
          <w:szCs w:val="24"/>
        </w:rPr>
        <w:t>0.27]</w:t>
      </w:r>
      <w:r w:rsidR="00F0370F">
        <w:rPr>
          <w:rFonts w:cs="Times New Roman"/>
          <w:bCs/>
          <w:iCs/>
          <w:szCs w:val="24"/>
        </w:rPr>
        <w:t>: a</w:t>
      </w:r>
      <w:r w:rsidR="000C553F" w:rsidRPr="00806BB7">
        <w:rPr>
          <w:rFonts w:cs="Times New Roman"/>
          <w:bCs/>
          <w:iCs/>
          <w:szCs w:val="24"/>
        </w:rPr>
        <w:t xml:space="preserve"> </w:t>
      </w:r>
      <w:r w:rsidR="00556086" w:rsidRPr="00806BB7">
        <w:rPr>
          <w:rFonts w:cs="Times New Roman"/>
          <w:bCs/>
          <w:iCs/>
          <w:szCs w:val="24"/>
        </w:rPr>
        <w:t>negative</w:t>
      </w:r>
      <w:r w:rsidR="000C553F" w:rsidRPr="00806BB7">
        <w:rPr>
          <w:rFonts w:cs="Times New Roman"/>
          <w:bCs/>
          <w:iCs/>
          <w:szCs w:val="24"/>
        </w:rPr>
        <w:t xml:space="preserve"> effect siz</w:t>
      </w:r>
      <w:r w:rsidR="00F0370F">
        <w:rPr>
          <w:rFonts w:cs="Times New Roman"/>
          <w:bCs/>
          <w:iCs/>
          <w:szCs w:val="24"/>
        </w:rPr>
        <w:t xml:space="preserve">e indicating less perceptual anchoring in </w:t>
      </w:r>
      <w:r w:rsidR="000C553F" w:rsidRPr="00806BB7">
        <w:rPr>
          <w:rFonts w:cs="Times New Roman"/>
          <w:bCs/>
          <w:iCs/>
          <w:szCs w:val="24"/>
        </w:rPr>
        <w:t xml:space="preserve">dyslexic </w:t>
      </w:r>
      <w:r w:rsidR="00F0370F">
        <w:rPr>
          <w:rFonts w:cs="Times New Roman"/>
          <w:bCs/>
          <w:iCs/>
          <w:szCs w:val="24"/>
        </w:rPr>
        <w:t>versus</w:t>
      </w:r>
      <w:r w:rsidR="00F0370F" w:rsidRPr="00806BB7">
        <w:rPr>
          <w:rFonts w:cs="Times New Roman"/>
          <w:bCs/>
          <w:iCs/>
          <w:szCs w:val="24"/>
        </w:rPr>
        <w:t xml:space="preserve"> </w:t>
      </w:r>
      <w:r w:rsidR="000C553F" w:rsidRPr="00806BB7">
        <w:rPr>
          <w:rFonts w:cs="Times New Roman"/>
          <w:bCs/>
          <w:iCs/>
          <w:szCs w:val="24"/>
        </w:rPr>
        <w:t>non-dyslexic groups.</w:t>
      </w:r>
      <w:r w:rsidR="007E22A9" w:rsidRPr="00806BB7">
        <w:rPr>
          <w:rFonts w:cs="Times New Roman"/>
          <w:bCs/>
          <w:iCs/>
          <w:szCs w:val="24"/>
        </w:rPr>
        <w:t xml:space="preserve"> </w:t>
      </w:r>
      <w:r w:rsidR="0071277B" w:rsidRPr="00806BB7">
        <w:rPr>
          <w:rFonts w:cs="Times New Roman"/>
          <w:bCs/>
          <w:szCs w:val="24"/>
        </w:rPr>
        <w:t>V</w:t>
      </w:r>
      <w:r w:rsidR="0071277B" w:rsidRPr="00806BB7">
        <w:rPr>
          <w:rFonts w:cs="Times New Roman"/>
          <w:bCs/>
          <w:iCs/>
          <w:szCs w:val="24"/>
        </w:rPr>
        <w:t>isual assessment of funnel plot and Egger’s test suggest minimal bias but with significant heterogeneity; Q (4) = 9.70, PI</w:t>
      </w:r>
      <w:r w:rsidR="00575A63" w:rsidRPr="00806BB7">
        <w:rPr>
          <w:rFonts w:cs="Times New Roman"/>
          <w:bCs/>
          <w:iCs/>
          <w:szCs w:val="24"/>
        </w:rPr>
        <w:t xml:space="preserve"> (prediction interval)</w:t>
      </w:r>
      <w:r w:rsidR="0071277B" w:rsidRPr="00806BB7">
        <w:rPr>
          <w:rFonts w:cs="Times New Roman"/>
          <w:bCs/>
          <w:iCs/>
          <w:szCs w:val="24"/>
        </w:rPr>
        <w:t xml:space="preserve"> [</w:t>
      </w:r>
      <w:r w:rsidR="00A8778E">
        <w:rPr>
          <w:rFonts w:cs="Times New Roman"/>
          <w:bCs/>
          <w:iCs/>
          <w:szCs w:val="24"/>
        </w:rPr>
        <w:t xml:space="preserve">-2.32, </w:t>
      </w:r>
      <w:r w:rsidR="0071277B" w:rsidRPr="00806BB7">
        <w:rPr>
          <w:rFonts w:cs="Times New Roman"/>
          <w:bCs/>
          <w:iCs/>
          <w:szCs w:val="24"/>
        </w:rPr>
        <w:t xml:space="preserve">-0.58]. </w:t>
      </w:r>
      <w:r w:rsidR="0071277B" w:rsidRPr="00806BB7">
        <w:rPr>
          <w:rFonts w:cs="Times New Roman"/>
          <w:bCs/>
          <w:szCs w:val="24"/>
        </w:rPr>
        <w:t xml:space="preserve">The primary limitation of the current review is the small number of included studies. We </w:t>
      </w:r>
      <w:r w:rsidR="00D23899" w:rsidRPr="00806BB7">
        <w:rPr>
          <w:rFonts w:cs="Times New Roman"/>
          <w:bCs/>
          <w:szCs w:val="24"/>
        </w:rPr>
        <w:t>discuss</w:t>
      </w:r>
      <w:r w:rsidR="0071277B" w:rsidRPr="00806BB7">
        <w:rPr>
          <w:rFonts w:cs="Times New Roman"/>
          <w:bCs/>
          <w:szCs w:val="24"/>
        </w:rPr>
        <w:t xml:space="preserve"> methodological limitations, such as limited power</w:t>
      </w:r>
      <w:r w:rsidR="00D23899" w:rsidRPr="00806BB7">
        <w:rPr>
          <w:rFonts w:cs="Times New Roman"/>
          <w:bCs/>
          <w:szCs w:val="24"/>
        </w:rPr>
        <w:t xml:space="preserve">, and </w:t>
      </w:r>
      <w:r w:rsidR="0071277B" w:rsidRPr="00806BB7">
        <w:rPr>
          <w:rFonts w:cs="Times New Roman"/>
          <w:bCs/>
          <w:szCs w:val="24"/>
        </w:rPr>
        <w:t xml:space="preserve">how future research may redress these concerns. </w:t>
      </w:r>
      <w:r w:rsidR="009C432F" w:rsidRPr="00806BB7">
        <w:rPr>
          <w:rFonts w:cs="Times New Roman"/>
          <w:bCs/>
          <w:szCs w:val="24"/>
        </w:rPr>
        <w:t xml:space="preserve">The variability of effect sizes appears consistent with the inherent variability within </w:t>
      </w:r>
      <w:r w:rsidR="00C4474D" w:rsidRPr="00806BB7">
        <w:rPr>
          <w:rFonts w:cs="Times New Roman"/>
          <w:bCs/>
          <w:szCs w:val="24"/>
        </w:rPr>
        <w:t xml:space="preserve">subtypes </w:t>
      </w:r>
      <w:r w:rsidR="009C432F" w:rsidRPr="00806BB7">
        <w:rPr>
          <w:rFonts w:cs="Times New Roman"/>
          <w:bCs/>
          <w:szCs w:val="24"/>
        </w:rPr>
        <w:t xml:space="preserve">of </w:t>
      </w:r>
      <w:r w:rsidR="00A8778E">
        <w:rPr>
          <w:rFonts w:cs="Times New Roman"/>
          <w:bCs/>
          <w:szCs w:val="24"/>
        </w:rPr>
        <w:t>dyslexia</w:t>
      </w:r>
      <w:r w:rsidR="009C432F" w:rsidRPr="00806BB7">
        <w:rPr>
          <w:rFonts w:cs="Times New Roman"/>
          <w:bCs/>
          <w:szCs w:val="24"/>
        </w:rPr>
        <w:t xml:space="preserve">. This level of dispersion seems indicative of the how we define cut-off thresholds between typical </w:t>
      </w:r>
      <w:r w:rsidR="00A8778E">
        <w:rPr>
          <w:rFonts w:cs="Times New Roman"/>
          <w:bCs/>
          <w:szCs w:val="24"/>
        </w:rPr>
        <w:t>reading and dyslexia</w:t>
      </w:r>
      <w:r w:rsidR="009C432F" w:rsidRPr="00806BB7">
        <w:rPr>
          <w:rFonts w:cs="Times New Roman"/>
          <w:bCs/>
          <w:szCs w:val="24"/>
        </w:rPr>
        <w:t xml:space="preserve"> </w:t>
      </w:r>
      <w:r w:rsidR="00F718DA">
        <w:rPr>
          <w:rFonts w:cs="Times New Roman"/>
          <w:bCs/>
          <w:szCs w:val="24"/>
        </w:rPr>
        <w:t>populations</w:t>
      </w:r>
      <w:r w:rsidR="009C432F" w:rsidRPr="00806BB7">
        <w:rPr>
          <w:rFonts w:cs="Times New Roman"/>
          <w:bCs/>
          <w:szCs w:val="24"/>
        </w:rPr>
        <w:t xml:space="preserve">, but also the methodological tools we use to investigate individual performance. </w:t>
      </w:r>
    </w:p>
    <w:p w14:paraId="122C0F91" w14:textId="038A9B4D" w:rsidR="00BD26F3" w:rsidRPr="00806BB7" w:rsidRDefault="00BD26F3" w:rsidP="0080728B">
      <w:pPr>
        <w:rPr>
          <w:rFonts w:cs="Times New Roman"/>
          <w:szCs w:val="24"/>
        </w:rPr>
      </w:pPr>
      <w:r w:rsidRPr="00806BB7">
        <w:rPr>
          <w:rFonts w:cs="Times New Roman"/>
          <w:szCs w:val="24"/>
        </w:rPr>
        <w:tab/>
      </w:r>
      <w:r w:rsidRPr="00806BB7">
        <w:rPr>
          <w:rFonts w:cs="Times New Roman"/>
          <w:i/>
          <w:szCs w:val="24"/>
        </w:rPr>
        <w:t>Keywords:</w:t>
      </w:r>
      <w:r w:rsidRPr="00806BB7">
        <w:rPr>
          <w:rFonts w:cs="Times New Roman"/>
          <w:szCs w:val="24"/>
        </w:rPr>
        <w:t xml:space="preserve"> </w:t>
      </w:r>
      <w:r w:rsidR="00FC3452" w:rsidRPr="00806BB7">
        <w:rPr>
          <w:rFonts w:cs="Times New Roman"/>
          <w:szCs w:val="24"/>
        </w:rPr>
        <w:t>perceptual anchoring</w:t>
      </w:r>
      <w:r w:rsidRPr="00806BB7">
        <w:rPr>
          <w:rFonts w:cs="Times New Roman"/>
          <w:szCs w:val="24"/>
        </w:rPr>
        <w:t xml:space="preserve">, </w:t>
      </w:r>
      <w:r w:rsidR="00FC3452" w:rsidRPr="00806BB7">
        <w:rPr>
          <w:rFonts w:cs="Times New Roman"/>
          <w:szCs w:val="24"/>
        </w:rPr>
        <w:t>dyslexia</w:t>
      </w:r>
      <w:r w:rsidRPr="00806BB7">
        <w:rPr>
          <w:rFonts w:cs="Times New Roman"/>
          <w:szCs w:val="24"/>
        </w:rPr>
        <w:t xml:space="preserve">, </w:t>
      </w:r>
      <w:r w:rsidR="00FC3452" w:rsidRPr="00806BB7">
        <w:rPr>
          <w:rFonts w:cs="Times New Roman"/>
          <w:szCs w:val="24"/>
        </w:rPr>
        <w:t>reading impaired</w:t>
      </w:r>
      <w:r w:rsidRPr="00806BB7">
        <w:rPr>
          <w:rFonts w:cs="Times New Roman"/>
          <w:szCs w:val="24"/>
        </w:rPr>
        <w:t xml:space="preserve">, </w:t>
      </w:r>
      <w:r w:rsidR="00FC3452" w:rsidRPr="00806BB7">
        <w:rPr>
          <w:rFonts w:cs="Times New Roman"/>
          <w:szCs w:val="24"/>
        </w:rPr>
        <w:t>perceptual learning</w:t>
      </w:r>
    </w:p>
    <w:p w14:paraId="543CF659" w14:textId="6887E9A4" w:rsidR="00F97545" w:rsidRPr="00806BB7" w:rsidRDefault="00BD26F3" w:rsidP="00806BB7">
      <w:pPr>
        <w:rPr>
          <w:szCs w:val="24"/>
        </w:rPr>
      </w:pPr>
      <w:r w:rsidRPr="00806BB7">
        <w:rPr>
          <w:rFonts w:cs="Times New Roman"/>
          <w:szCs w:val="24"/>
        </w:rPr>
        <w:br w:type="page"/>
      </w:r>
      <w:r w:rsidR="00B47E6E" w:rsidRPr="00806BB7">
        <w:rPr>
          <w:szCs w:val="24"/>
        </w:rPr>
        <w:lastRenderedPageBreak/>
        <w:t xml:space="preserve">Perceptual anchoring can be defined as the implicit learning of regularities from an incoming perceptual stream </w:t>
      </w:r>
      <w:r w:rsidR="004F04D3" w:rsidRPr="00806BB7">
        <w:rPr>
          <w:szCs w:val="24"/>
        </w:rPr>
        <w:fldChar w:fldCharType="begin"/>
      </w:r>
      <w:r w:rsidR="00903EDA">
        <w:rPr>
          <w:szCs w:val="24"/>
        </w:rPr>
        <w:instrText xml:space="preserve"> ADDIN ZOTERO_ITEM CSL_CITATION {"citationID":"4n6djtWP","properties":{"formattedCitation":"(Merav Ahissar, 2007)","plainCitation":"(Merav Ahissar, 2007)","dontUpdate":true,"noteIndex":0},"citationItems":[{"id":1,"uris":["http://zotero.org/users/6317667/items/EUWN5LG2"],"uri":["http://zotero.org/users/6317667/items/EUWN5LG2"],"itemData":{"id":1,"type":"article-journal","abstract":"The ‘core deficit’ of dyslexia has been characterized by different researchers in terms of either phonological impairments or of difficulties in processing basic visual and auditory stimuli. Recent findings suggest that a single type of impairment in the dynamics of perception, which affects the efficiency of short-term memory, might underlie the broad range of difficulties of dyslexics. Experimental findings show that the general population quickly and automatically tunes around incoming stimuli, ‘anchors to them’ and performs faster and more accurately when these stimuli are subsequently repeated. Dyslexic individuals fail to benefit from stimulus-specific repetitions. This deficit can account for phonological, working memory, visual and auditory difficulties, in addition to the greater sensitivity of dyslexics to external noise.","container-title":"Trends in Cognitive Sciences","DOI":"10.1016/j.tics.2007.08.015","ISSN":"1364-6613","issue":"11","page":"458-465","title":"Dyslexia and the anchoring-deficit hypothesis","volume":"11","author":[{"family":"Ahissar","given":"Merav"}],"issued":{"date-parts":[["2007"]]}}}],"schema":"https://github.com/citation-style-language/schema/raw/master/csl-citation.json"} </w:instrText>
      </w:r>
      <w:r w:rsidR="004F04D3" w:rsidRPr="00806BB7">
        <w:rPr>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2007)</w:t>
      </w:r>
      <w:r w:rsidR="004F04D3" w:rsidRPr="00806BB7">
        <w:rPr>
          <w:szCs w:val="24"/>
        </w:rPr>
        <w:fldChar w:fldCharType="end"/>
      </w:r>
      <w:r w:rsidR="004E474C" w:rsidRPr="00806BB7">
        <w:rPr>
          <w:szCs w:val="24"/>
        </w:rPr>
        <w:t xml:space="preserve">. </w:t>
      </w:r>
      <w:r w:rsidR="00B47E6E" w:rsidRPr="00806BB7">
        <w:rPr>
          <w:szCs w:val="24"/>
        </w:rPr>
        <w:t>The term “anchor” has been</w:t>
      </w:r>
      <w:r w:rsidR="00D41ACD" w:rsidRPr="00806BB7">
        <w:rPr>
          <w:szCs w:val="24"/>
        </w:rPr>
        <w:t xml:space="preserve"> attributed </w:t>
      </w:r>
      <w:r w:rsidR="00B47E6E" w:rsidRPr="00806BB7">
        <w:rPr>
          <w:szCs w:val="24"/>
        </w:rPr>
        <w:t>to the work of</w:t>
      </w:r>
      <w:r w:rsidR="004E474C" w:rsidRPr="00806BB7">
        <w:rPr>
          <w:szCs w:val="24"/>
        </w:rPr>
        <w:t xml:space="preserve"> Harris</w:t>
      </w:r>
      <w:r w:rsidR="00B47E6E" w:rsidRPr="00806BB7">
        <w:rPr>
          <w:szCs w:val="24"/>
        </w:rPr>
        <w:t xml:space="preserve"> </w:t>
      </w:r>
      <w:r w:rsidR="004E474C" w:rsidRPr="00806BB7">
        <w:rPr>
          <w:szCs w:val="24"/>
        </w:rPr>
        <w:fldChar w:fldCharType="begin"/>
      </w:r>
      <w:r w:rsidR="00095E48" w:rsidRPr="00806BB7">
        <w:rPr>
          <w:szCs w:val="24"/>
        </w:rPr>
        <w:instrText xml:space="preserve"> ADDIN ZOTERO_ITEM CSL_CITATION {"citationID":"yNr2Ce9t","properties":{"formattedCitation":"(1948)","plainCitation":"(1948)","noteIndex":0},"citationItems":[{"id":72,"uris":["http://zotero.org/users/6317667/items/2HKDMYA9"],"uri":["http://zotero.org/users/6317667/items/2HKDMYA9"],"itemData":{"id":72,"type":"article-journal","container-title":"The American Journal of Psychology","DOI":"10.2307/1417151","ISSN":"00029556","issue":"3","page":"309-322","title":"Discrimination of Pitch: Suggestions toward Method and Procedure","volume":"61","author":[{"family":"Harris","given":"J. Donald"}],"issued":{"date-parts":[["1948"]]}},"suppress-author":true}],"schema":"https://github.com/citation-style-language/schema/raw/master/csl-citation.json"} </w:instrText>
      </w:r>
      <w:r w:rsidR="004E474C" w:rsidRPr="00806BB7">
        <w:rPr>
          <w:szCs w:val="24"/>
        </w:rPr>
        <w:fldChar w:fldCharType="separate"/>
      </w:r>
      <w:r w:rsidR="004E474C" w:rsidRPr="00806BB7">
        <w:rPr>
          <w:rFonts w:cs="Times New Roman"/>
          <w:szCs w:val="24"/>
        </w:rPr>
        <w:t>(1948)</w:t>
      </w:r>
      <w:r w:rsidR="004E474C" w:rsidRPr="00806BB7">
        <w:rPr>
          <w:szCs w:val="24"/>
        </w:rPr>
        <w:fldChar w:fldCharType="end"/>
      </w:r>
      <w:r w:rsidR="004E474C" w:rsidRPr="00806BB7">
        <w:rPr>
          <w:szCs w:val="24"/>
        </w:rPr>
        <w:t xml:space="preserve"> </w:t>
      </w:r>
      <w:r w:rsidR="00B47E6E" w:rsidRPr="00806BB7">
        <w:rPr>
          <w:szCs w:val="24"/>
        </w:rPr>
        <w:t xml:space="preserve">in which </w:t>
      </w:r>
      <w:r w:rsidR="00B9455C" w:rsidRPr="00806BB7">
        <w:rPr>
          <w:szCs w:val="24"/>
        </w:rPr>
        <w:t xml:space="preserve">she </w:t>
      </w:r>
      <w:r w:rsidR="00B47E6E" w:rsidRPr="00806BB7">
        <w:rPr>
          <w:szCs w:val="24"/>
        </w:rPr>
        <w:t>found that psychoacoustic protocols includ</w:t>
      </w:r>
      <w:r w:rsidR="00F0370F">
        <w:rPr>
          <w:szCs w:val="24"/>
        </w:rPr>
        <w:t>ing</w:t>
      </w:r>
      <w:r w:rsidR="00B47E6E" w:rsidRPr="00806BB7">
        <w:rPr>
          <w:szCs w:val="24"/>
        </w:rPr>
        <w:t xml:space="preserve"> repeated, or reference, tones yielded more-accurate performance relative to protocols without repeated tones. Hence, following cross-trial comparisons, an external reference is replaced by an internal reference, leading to increased response accuracy. In contrast, trials without a repeated reference do not promote increased performance. This trend in performance is comparable to that seen in perceptual learning paradigms in which increased exposure to perceptual information has a beneficial, long-lasting, impact on future decision-making. </w:t>
      </w:r>
      <w:r w:rsidR="004F4E2E">
        <w:rPr>
          <w:szCs w:val="24"/>
        </w:rPr>
        <w:t>A small body of research</w:t>
      </w:r>
      <w:r w:rsidR="00F0370F">
        <w:rPr>
          <w:szCs w:val="24"/>
        </w:rPr>
        <w:t xml:space="preserve"> </w:t>
      </w:r>
      <w:r w:rsidR="00E70700" w:rsidRPr="00806BB7">
        <w:rPr>
          <w:szCs w:val="24"/>
        </w:rPr>
        <w:t xml:space="preserve">has proposed a relationship between perceptual anchoring and </w:t>
      </w:r>
      <w:r w:rsidR="003F78D4">
        <w:rPr>
          <w:szCs w:val="24"/>
        </w:rPr>
        <w:t xml:space="preserve">developmental dyslexia </w:t>
      </w:r>
      <w:r w:rsidR="004E474C" w:rsidRPr="00806BB7">
        <w:rPr>
          <w:szCs w:val="24"/>
        </w:rPr>
        <w:fldChar w:fldCharType="begin"/>
      </w:r>
      <w:r w:rsidR="00AF062E" w:rsidRPr="00806BB7">
        <w:rPr>
          <w:szCs w:val="24"/>
        </w:rPr>
        <w:instrText xml:space="preserve"> ADDIN ZOTERO_ITEM CSL_CITATION {"citationID":"tWstMaCH","properties":{"formattedCitation":"(Merav Ahissar, 2007; Banai &amp; Ahissar, 2010)","plainCitation":"(Merav Ahissar, 2007; Banai &amp; Ahissar, 2010)","dontUpdate":true,"noteIndex":0},"citationItems":[{"id":1,"uris":["http://zotero.org/users/6317667/items/EUWN5LG2"],"uri":["http://zotero.org/users/6317667/items/EUWN5LG2"],"itemData":{"id":1,"type":"article-journal","abstract":"The ‘core deficit’ of dyslexia has been characterized by different researchers in terms of either phonological impairments or of difficulties in processing basic visual and auditory stimuli. Recent findings suggest that a single type of impairment in the dynamics of perception, which affects the efficiency of short-term memory, might underlie the broad range of difficulties of dyslexics. Experimental findings show that the general population quickly and automatically tunes around incoming stimuli, ‘anchors to them’ and performs faster and more accurately when these stimuli are subsequently repeated. Dyslexic individuals fail to benefit from stimulus-specific repetitions. This deficit can account for phonological, working memory, visual and auditory difficulties, in addition to the greater sensitivity of dyslexics to external noise.","container-title":"Trends in Cognitive Sciences","DOI":"10.1016/j.tics.2007.08.015","ISSN":"1364-6613","issue":"11","page":"458-465","title":"Dyslexia and the anchoring-deficit hypothesis","volume":"11","author":[{"family":"Ahissar","given":"Merav"}],"issued":{"date-parts":[["2007"]]}}},{"id":374,"uris":["http://zotero.org/users/6317667/items/AIIJVDXS"],"uri":["http://zotero.org/users/6317667/items/AIIJVDXS"],"itemData":{"id":374,"type":"article-journal","abstract":"One of the main impediments of individuals with reading difficulties and individuals with language difficulties is poor working memory. Typically measured using verbal stimuli, working memory deficits have often been considered as one aspect of the phonological difficulty putatively underlying dyslexia. Over the years it has been shown that a broad range of auditory discrimination abilities are also mildly impaired. Here we present evidence that a domain general, rather than a phonology specific, deficits in the ability to implicitly use contextual information, which we term anchoring, can account for both types of deficits. We propose that anchoring ability, which reflects a basic biological mechanism for replacing effortful mechanisms of explicit working memory with automatic mechanisms of implicit memory, and consequently boost performance in both perceptual and cognitive tasks, is a crucial factor in our ability to be expert users of oral and written language. Copyright © 2010 John Wiley &amp; Sons, Ltd.","container-title":"Dyslexia","DOI":"10.1002/dys.407","ISSN":"1099-0909","issue":"3","language":"en","note":"_eprint: https://onlinelibrary.wiley.com/doi/pdf/10.1002/dys.407","page":"240-257","source":"Wiley Online Library","title":"On the importance of anchoring and the consequences of its impairment in dyslexia","volume":"16","author":[{"family":"Banai","given":"Karen"},{"family":"Ahissar","given":"Merav"}],"issued":{"date-parts":[["2010"]]}}}],"schema":"https://github.com/citation-style-language/schema/raw/master/csl-citation.json"} </w:instrText>
      </w:r>
      <w:r w:rsidR="004E474C" w:rsidRPr="00806BB7">
        <w:rPr>
          <w:szCs w:val="24"/>
        </w:rPr>
        <w:fldChar w:fldCharType="separate"/>
      </w:r>
      <w:r w:rsidR="00344732" w:rsidRPr="00806BB7">
        <w:rPr>
          <w:rFonts w:cs="Times New Roman"/>
          <w:szCs w:val="24"/>
        </w:rPr>
        <w:t>(</w:t>
      </w:r>
      <w:r w:rsidR="004F04D3" w:rsidRPr="00806BB7">
        <w:rPr>
          <w:rFonts w:cs="Times New Roman"/>
          <w:szCs w:val="24"/>
        </w:rPr>
        <w:t>Ahissar</w:t>
      </w:r>
      <w:r w:rsidR="00344732" w:rsidRPr="00806BB7">
        <w:rPr>
          <w:rFonts w:cs="Times New Roman"/>
          <w:szCs w:val="24"/>
        </w:rPr>
        <w:t>, 2007; Banai &amp; Ahissar, 2010)</w:t>
      </w:r>
      <w:r w:rsidR="004E474C" w:rsidRPr="00806BB7">
        <w:rPr>
          <w:szCs w:val="24"/>
        </w:rPr>
        <w:fldChar w:fldCharType="end"/>
      </w:r>
      <w:r w:rsidR="004E474C" w:rsidRPr="00806BB7">
        <w:rPr>
          <w:szCs w:val="24"/>
        </w:rPr>
        <w:t>.</w:t>
      </w:r>
    </w:p>
    <w:p w14:paraId="39BEA17B" w14:textId="626B2A0B" w:rsidR="00B47E6E" w:rsidRPr="00806BB7" w:rsidRDefault="004E474C" w:rsidP="004D2116">
      <w:pPr>
        <w:contextualSpacing/>
        <w:rPr>
          <w:szCs w:val="24"/>
        </w:rPr>
      </w:pPr>
      <w:r w:rsidRPr="00806BB7">
        <w:rPr>
          <w:szCs w:val="24"/>
        </w:rPr>
        <w:t xml:space="preserve"> </w:t>
      </w:r>
      <w:r w:rsidR="00B47E6E" w:rsidRPr="00806BB7">
        <w:rPr>
          <w:szCs w:val="24"/>
        </w:rPr>
        <w:t xml:space="preserve">Normal reading ability is situated on a continuum, the tail-end of which </w:t>
      </w:r>
      <w:r w:rsidR="00B9455C" w:rsidRPr="00806BB7">
        <w:rPr>
          <w:szCs w:val="24"/>
        </w:rPr>
        <w:t xml:space="preserve">may be </w:t>
      </w:r>
      <w:r w:rsidR="00C4474D" w:rsidRPr="00806BB7">
        <w:rPr>
          <w:szCs w:val="24"/>
        </w:rPr>
        <w:t xml:space="preserve">referred to </w:t>
      </w:r>
      <w:r w:rsidR="00133EE1" w:rsidRPr="00806BB7">
        <w:rPr>
          <w:szCs w:val="24"/>
        </w:rPr>
        <w:t>as</w:t>
      </w:r>
      <w:r w:rsidR="00B9455C" w:rsidRPr="00806BB7">
        <w:rPr>
          <w:szCs w:val="24"/>
        </w:rPr>
        <w:t xml:space="preserve"> developmental</w:t>
      </w:r>
      <w:r w:rsidR="00133EE1" w:rsidRPr="00806BB7">
        <w:rPr>
          <w:szCs w:val="24"/>
        </w:rPr>
        <w:t xml:space="preserve"> dyslexia</w:t>
      </w:r>
      <w:r w:rsidR="00B9455C" w:rsidRPr="00806BB7">
        <w:rPr>
          <w:szCs w:val="24"/>
        </w:rPr>
        <w:t xml:space="preserve"> (here</w:t>
      </w:r>
      <w:r w:rsidR="009E2C7E" w:rsidRPr="00806BB7">
        <w:rPr>
          <w:szCs w:val="24"/>
        </w:rPr>
        <w:t>in</w:t>
      </w:r>
      <w:r w:rsidR="00B9455C" w:rsidRPr="00806BB7">
        <w:rPr>
          <w:szCs w:val="24"/>
        </w:rPr>
        <w:t xml:space="preserve"> </w:t>
      </w:r>
      <w:r w:rsidR="009E2C7E" w:rsidRPr="00806BB7">
        <w:rPr>
          <w:szCs w:val="24"/>
        </w:rPr>
        <w:t>“</w:t>
      </w:r>
      <w:r w:rsidR="00B9455C" w:rsidRPr="00806BB7">
        <w:rPr>
          <w:szCs w:val="24"/>
        </w:rPr>
        <w:t>dyslexia</w:t>
      </w:r>
      <w:r w:rsidR="009E2C7E" w:rsidRPr="00806BB7">
        <w:rPr>
          <w:szCs w:val="24"/>
        </w:rPr>
        <w:t>”</w:t>
      </w:r>
      <w:r w:rsidR="00B9455C" w:rsidRPr="00806BB7">
        <w:rPr>
          <w:szCs w:val="24"/>
        </w:rPr>
        <w:t>)</w:t>
      </w:r>
      <w:r w:rsidR="00133EE1" w:rsidRPr="00806BB7">
        <w:rPr>
          <w:szCs w:val="24"/>
        </w:rPr>
        <w:t xml:space="preserve"> </w:t>
      </w:r>
      <w:r w:rsidRPr="00806BB7">
        <w:rPr>
          <w:szCs w:val="24"/>
        </w:rPr>
        <w:fldChar w:fldCharType="begin"/>
      </w:r>
      <w:r w:rsidR="00095E48" w:rsidRPr="00806BB7">
        <w:rPr>
          <w:szCs w:val="24"/>
        </w:rPr>
        <w:instrText xml:space="preserve"> ADDIN ZOTERO_ITEM CSL_CITATION {"citationID":"VktTWPHv","properties":{"formattedCitation":"(Shaywitz et al., 1992)","plainCitation":"(Shaywitz et al., 1992)","noteIndex":0},"citationItems":[{"id":283,"uris":["http://zotero.org/users/6317667/items/7LP86AV9"],"uri":["http://zotero.org/users/6317667/items/7LP86AV9"],"itemData":{"id":283,"type":"article-journal","abstract":"DYSLEXIA is a neurologically based disorder in which there is an unexpected failure to read. As defined by the World Federation of Neurology, the disorder is \"manifested by difficulty in learning to read despite conventional instruction, adequate intelligence, and sociocultural opportunity.\"1 Dyslexia is also referred to as \"specific reading disability\" or \"specific reading retardation.\" It is generally assumed that the failure to learn to read represents a specific syndrome that is distinct from the normal distribution of poor readers. Rather than representing the lower end of a continuum of reading disability and reading ability, dyslexia (or specific reading disability) is . . .","container-title":"New England Journal of Medicine","DOI":"10.1056/NEJM199201163260301","ISSN":"0028-4793","issue":"3","note":"publisher: Massachusetts Medical Society\n_eprint: https://doi.org/10.1056/NEJM199201163260301\nPMID: 1727544","page":"145-150","source":"Taylor and Francis+NEJM","title":"Evidence That Dyslexia May Represent the Lower Tail of a Normal Distribution of Reading Ability","volume":"326","author":[{"family":"Shaywitz","given":"Sally E."},{"family":"Escobar","given":"Michael D."},{"family":"Shaywitz","given":"Bennett A."},{"family":"Fletcher","given":"Jack M."},{"family":"Makuch","given":"Robert"}],"issued":{"date-parts":[["1992",1,16]]}}}],"schema":"https://github.com/citation-style-language/schema/raw/master/csl-citation.json"} </w:instrText>
      </w:r>
      <w:r w:rsidRPr="00806BB7">
        <w:rPr>
          <w:szCs w:val="24"/>
        </w:rPr>
        <w:fldChar w:fldCharType="separate"/>
      </w:r>
      <w:r w:rsidRPr="00806BB7">
        <w:rPr>
          <w:rFonts w:cs="Times New Roman"/>
          <w:szCs w:val="24"/>
        </w:rPr>
        <w:t>(Shaywitz et al., 1992)</w:t>
      </w:r>
      <w:r w:rsidRPr="00806BB7">
        <w:rPr>
          <w:szCs w:val="24"/>
        </w:rPr>
        <w:fldChar w:fldCharType="end"/>
      </w:r>
      <w:r w:rsidR="00B47E6E" w:rsidRPr="00806BB7">
        <w:rPr>
          <w:szCs w:val="24"/>
        </w:rPr>
        <w:t xml:space="preserve">. </w:t>
      </w:r>
      <w:r w:rsidR="00D41ACD" w:rsidRPr="00806BB7">
        <w:rPr>
          <w:szCs w:val="24"/>
        </w:rPr>
        <w:t xml:space="preserve">Dyslexia </w:t>
      </w:r>
      <w:r w:rsidR="00B47E6E" w:rsidRPr="00806BB7">
        <w:rPr>
          <w:szCs w:val="24"/>
        </w:rPr>
        <w:t xml:space="preserve">is specified in terms of severity </w:t>
      </w:r>
      <w:r w:rsidRPr="00806BB7">
        <w:rPr>
          <w:szCs w:val="24"/>
        </w:rPr>
        <w:fldChar w:fldCharType="begin"/>
      </w:r>
      <w:r w:rsidR="00095E48" w:rsidRPr="00806BB7">
        <w:rPr>
          <w:szCs w:val="24"/>
        </w:rPr>
        <w:instrText xml:space="preserve"> ADDIN ZOTERO_ITEM CSL_CITATION {"citationID":"sZ0UwICc","properties":{"formattedCitation":"(American Psychiatric Association, 2013)","plainCitation":"(American Psychiatric Association, 2013)","noteIndex":0},"citationItems":[{"id":373,"uris":["http://zotero.org/users/6317667/items/WWW24GTM"],"uri":["http://zotero.org/users/6317667/items/WWW24GTM"],"itemData":{"id":373,"type":"book","edition":"Fifth Edition","ISBN":"978-0-89042-555-8","language":"en","note":"DOI: 10.1176/appi.books.9780890425596","publisher":"American Psychiatric Association","source":"DOI.org (Crossref)","title":"Diagnostic and Statistical Manual of Mental Disorders","URL":"https://psychiatryonline.org/doi/book/10.1176/appi.books.9780890425596","author":[{"literal":"American Psychiatric Association"}],"accessed":{"date-parts":[["2020",4,24]]},"issued":{"date-parts":[["2013",5,22]]}}}],"schema":"https://github.com/citation-style-language/schema/raw/master/csl-citation.json"} </w:instrText>
      </w:r>
      <w:r w:rsidRPr="00806BB7">
        <w:rPr>
          <w:szCs w:val="24"/>
        </w:rPr>
        <w:fldChar w:fldCharType="separate"/>
      </w:r>
      <w:r w:rsidRPr="00806BB7">
        <w:rPr>
          <w:rFonts w:cs="Times New Roman"/>
          <w:szCs w:val="24"/>
        </w:rPr>
        <w:t>(American Psychiatric Association, 2013)</w:t>
      </w:r>
      <w:r w:rsidRPr="00806BB7">
        <w:rPr>
          <w:szCs w:val="24"/>
        </w:rPr>
        <w:fldChar w:fldCharType="end"/>
      </w:r>
      <w:r w:rsidR="00B47E6E" w:rsidRPr="00806BB7">
        <w:rPr>
          <w:szCs w:val="24"/>
        </w:rPr>
        <w:t xml:space="preserve"> and</w:t>
      </w:r>
      <w:r w:rsidR="00190D8E" w:rsidRPr="00806BB7">
        <w:rPr>
          <w:szCs w:val="24"/>
        </w:rPr>
        <w:t xml:space="preserve"> </w:t>
      </w:r>
      <w:r w:rsidR="00B47E6E" w:rsidRPr="00806BB7">
        <w:rPr>
          <w:szCs w:val="24"/>
        </w:rPr>
        <w:t>include</w:t>
      </w:r>
      <w:r w:rsidR="00443F80" w:rsidRPr="00806BB7">
        <w:rPr>
          <w:szCs w:val="24"/>
        </w:rPr>
        <w:t>s</w:t>
      </w:r>
      <w:r w:rsidR="00B47E6E" w:rsidRPr="00806BB7">
        <w:rPr>
          <w:szCs w:val="24"/>
        </w:rPr>
        <w:t xml:space="preserve"> an impairment in one or more of the following reading abilities: grapheme-phoneme correspondence rules (i.e., sounding out word</w:t>
      </w:r>
      <w:r w:rsidR="003E5ECB" w:rsidRPr="00806BB7">
        <w:rPr>
          <w:szCs w:val="24"/>
        </w:rPr>
        <w:t>s</w:t>
      </w:r>
      <w:r w:rsidR="00B47E6E" w:rsidRPr="00806BB7">
        <w:rPr>
          <w:szCs w:val="24"/>
        </w:rPr>
        <w:t xml:space="preserve">), word reading accuracy (i.e., reading words without error), reading rate or fluency (i.e., how quickly we read), and reading comprehension (i.e., understanding the meaning of what we read). Significantly, these deficits occur despite typical educational opportunity, and in the absence of </w:t>
      </w:r>
      <w:r w:rsidR="00190D8E" w:rsidRPr="00806BB7">
        <w:rPr>
          <w:szCs w:val="24"/>
        </w:rPr>
        <w:t xml:space="preserve">any </w:t>
      </w:r>
      <w:r w:rsidR="00B47E6E" w:rsidRPr="00806BB7">
        <w:rPr>
          <w:szCs w:val="24"/>
        </w:rPr>
        <w:t>sensory or neurological damage</w:t>
      </w:r>
      <w:r w:rsidR="000867BB" w:rsidRPr="00806BB7">
        <w:rPr>
          <w:szCs w:val="24"/>
        </w:rPr>
        <w:t xml:space="preserve"> </w:t>
      </w:r>
      <w:r w:rsidR="00B044EE" w:rsidRPr="00806BB7">
        <w:rPr>
          <w:szCs w:val="24"/>
        </w:rPr>
        <w:fldChar w:fldCharType="begin"/>
      </w:r>
      <w:r w:rsidR="00095E48" w:rsidRPr="00806BB7">
        <w:rPr>
          <w:szCs w:val="24"/>
        </w:rPr>
        <w:instrText xml:space="preserve"> ADDIN ZOTERO_ITEM CSL_CITATION {"citationID":"3wLA9D2z","properties":{"formattedCitation":"(World Health Organization, 2018)","plainCitation":"(World Health Organization, 2018)","noteIndex":0},"citationItems":[{"id":372,"uris":["http://zotero.org/users/6317667/items/TU32PDVH"],"uri":["http://zotero.org/users/6317667/items/TU32PDVH"],"itemData":{"id":372,"type":"webpage","title":"ICD-11 - Mortality and Morbidity Statistics","URL":"https://icd.who.int/browse11/l-m/en","author":[{"family":"World Health Organization","given":""}],"accessed":{"date-parts":[["2020",4,24]]},"issued":{"date-parts":[["2018"]]}}}],"schema":"https://github.com/citation-style-language/schema/raw/master/csl-citation.json"} </w:instrText>
      </w:r>
      <w:r w:rsidR="00B044EE" w:rsidRPr="00806BB7">
        <w:rPr>
          <w:szCs w:val="24"/>
        </w:rPr>
        <w:fldChar w:fldCharType="separate"/>
      </w:r>
      <w:r w:rsidR="00B044EE" w:rsidRPr="00806BB7">
        <w:rPr>
          <w:rFonts w:cs="Times New Roman"/>
          <w:szCs w:val="24"/>
        </w:rPr>
        <w:t>(World Health Organization, 2018)</w:t>
      </w:r>
      <w:r w:rsidR="00B044EE" w:rsidRPr="00806BB7">
        <w:rPr>
          <w:szCs w:val="24"/>
        </w:rPr>
        <w:fldChar w:fldCharType="end"/>
      </w:r>
      <w:r w:rsidR="00B044EE" w:rsidRPr="00806BB7">
        <w:rPr>
          <w:szCs w:val="24"/>
        </w:rPr>
        <w:t>.</w:t>
      </w:r>
    </w:p>
    <w:p w14:paraId="61D09F03" w14:textId="1D29B6A0" w:rsidR="00190D8E" w:rsidRPr="00806BB7" w:rsidRDefault="004F4E2E" w:rsidP="00B47284">
      <w:pPr>
        <w:pStyle w:val="Heading2"/>
        <w:rPr>
          <w:szCs w:val="24"/>
        </w:rPr>
      </w:pPr>
      <w:r>
        <w:rPr>
          <w:szCs w:val="24"/>
        </w:rPr>
        <w:t>Dyslexia vs</w:t>
      </w:r>
      <w:r w:rsidR="00F0370F">
        <w:rPr>
          <w:szCs w:val="24"/>
        </w:rPr>
        <w:t>.</w:t>
      </w:r>
      <w:r>
        <w:rPr>
          <w:szCs w:val="24"/>
        </w:rPr>
        <w:t xml:space="preserve"> Dylexias</w:t>
      </w:r>
    </w:p>
    <w:p w14:paraId="69C0512D" w14:textId="10788E90" w:rsidR="00B6625A" w:rsidRPr="00806BB7" w:rsidRDefault="00133EE1" w:rsidP="00B6625A">
      <w:pPr>
        <w:contextualSpacing/>
        <w:rPr>
          <w:szCs w:val="24"/>
        </w:rPr>
      </w:pPr>
      <w:r w:rsidRPr="00806BB7">
        <w:rPr>
          <w:szCs w:val="24"/>
        </w:rPr>
        <w:t>Traditionally,</w:t>
      </w:r>
      <w:r w:rsidR="000A003E" w:rsidRPr="00806BB7">
        <w:rPr>
          <w:szCs w:val="24"/>
        </w:rPr>
        <w:t xml:space="preserve"> single or</w:t>
      </w:r>
      <w:r w:rsidRPr="00806BB7">
        <w:rPr>
          <w:szCs w:val="24"/>
        </w:rPr>
        <w:t xml:space="preserve"> </w:t>
      </w:r>
      <w:r w:rsidR="0081049D" w:rsidRPr="00806BB7">
        <w:rPr>
          <w:szCs w:val="24"/>
        </w:rPr>
        <w:t>univariate</w:t>
      </w:r>
      <w:r w:rsidR="000A003E" w:rsidRPr="00806BB7">
        <w:rPr>
          <w:szCs w:val="24"/>
        </w:rPr>
        <w:t xml:space="preserve"> theoretical</w:t>
      </w:r>
      <w:r w:rsidR="0081049D" w:rsidRPr="00806BB7">
        <w:rPr>
          <w:szCs w:val="24"/>
        </w:rPr>
        <w:t xml:space="preserve"> </w:t>
      </w:r>
      <w:r w:rsidRPr="00806BB7">
        <w:rPr>
          <w:szCs w:val="24"/>
        </w:rPr>
        <w:t>approaches to dyslexia have opted to explain word</w:t>
      </w:r>
      <w:r w:rsidR="00443F80" w:rsidRPr="00806BB7">
        <w:rPr>
          <w:szCs w:val="24"/>
        </w:rPr>
        <w:t>-</w:t>
      </w:r>
      <w:r w:rsidRPr="00806BB7">
        <w:rPr>
          <w:szCs w:val="24"/>
        </w:rPr>
        <w:t>reading difficulties as the consequence of a disruption to some cognitive or perceptual process(es)</w:t>
      </w:r>
      <w:r w:rsidR="0081049D" w:rsidRPr="00806BB7">
        <w:rPr>
          <w:szCs w:val="24"/>
        </w:rPr>
        <w:t xml:space="preserve"> </w:t>
      </w:r>
      <w:r w:rsidR="0081049D" w:rsidRPr="00806BB7">
        <w:rPr>
          <w:szCs w:val="24"/>
        </w:rPr>
        <w:fldChar w:fldCharType="begin"/>
      </w:r>
      <w:r w:rsidR="004F04D3" w:rsidRPr="00806BB7">
        <w:rPr>
          <w:szCs w:val="24"/>
        </w:rPr>
        <w:instrText xml:space="preserve"> ADDIN ZOTERO_ITEM CSL_CITATION {"citationID":"qrb57JTO","properties":{"formattedCitation":"(Parrila et al., 2017)","plainCitation":"(Parrila et al., 2017)","dontUpdate":true,"noteIndex":0},"citationItems":[{"id":333,"uris":["http://zotero.org/users/6317667/items/LLVLFU6P"],"uri":["http://zotero.org/users/6317667/items/LLVLFU6P"],"itemData":{"id":333,"type":"book","abstract":"The use of printed words to capture language is one of the most remarkable inventions of humankind, and learning to read them is one of the most remarkable achievements of individuals. In recent decades, how we learn to read and understand printed text has been studied intensely in genetics, education, psychology, and cognitive science, and both the volume of research papers and breadth of the topics they examine have increased exponentially. Theories of Reading Development collects within a single volume state-of-the-art descriptions of important theories of reading development and disabilities. The included chapters focus on multiple aspects of reading development and are written by leading experts in the field. Each chapter is an independent theoretical review of the topic to which the authors have made a significant contribution and can be enjoyed on its own, or in relation to others in the book. The volume is written for professionals, graduate students, and researchers in education, psychology, and cognitive neuroscience. It can be used either as a core or as a supplementary text in senior undergraduate and graduate education and psychology courses focusing on reading development.","collection-title":"Studies in Written Language and Literacy","event-place":"Amsterdam","ISBN":"978-90-272-1811-7","language":"English","note":"issue: Vol. 15","publisher":"John Benjamins Publishing Company","publisher-place":"Amsterdam","source":"EBSCOhost","title":"Theories of Reading Development","URL":"http://simsrad.net.ocs.mq.edu.au/login?url=https://search.ebscohost.com/login.aspx?direct=true&amp;db=nlebk&amp;AN=1572178&amp;site=ehost-live","author":[{"family":"Parrila","given":"Rauno K."},{"family":"Cain","given":"Kate"},{"family":"Compton","given":"Donald L."}],"accessed":{"date-parts":[["2020",6,2]]},"issued":{"date-parts":[["2017"]]}}}],"schema":"https://github.com/citation-style-language/schema/raw/master/csl-citation.json"} </w:instrText>
      </w:r>
      <w:r w:rsidR="0081049D" w:rsidRPr="00806BB7">
        <w:rPr>
          <w:szCs w:val="24"/>
        </w:rPr>
        <w:fldChar w:fldCharType="separate"/>
      </w:r>
      <w:r w:rsidR="000A1229" w:rsidRPr="00806BB7">
        <w:rPr>
          <w:rFonts w:cs="Times New Roman"/>
          <w:szCs w:val="24"/>
        </w:rPr>
        <w:t>(for review, see Parrila et al., 2017)</w:t>
      </w:r>
      <w:r w:rsidR="0081049D" w:rsidRPr="00806BB7">
        <w:rPr>
          <w:szCs w:val="24"/>
        </w:rPr>
        <w:fldChar w:fldCharType="end"/>
      </w:r>
      <w:r w:rsidRPr="00806BB7">
        <w:rPr>
          <w:szCs w:val="24"/>
        </w:rPr>
        <w:t xml:space="preserve">. </w:t>
      </w:r>
      <w:r w:rsidR="009E2C7E" w:rsidRPr="00806BB7">
        <w:rPr>
          <w:szCs w:val="24"/>
        </w:rPr>
        <w:t>These accounts may be</w:t>
      </w:r>
      <w:r w:rsidRPr="00806BB7">
        <w:rPr>
          <w:szCs w:val="24"/>
        </w:rPr>
        <w:t xml:space="preserve"> </w:t>
      </w:r>
      <w:r w:rsidR="00E37662" w:rsidRPr="00806BB7">
        <w:rPr>
          <w:szCs w:val="24"/>
        </w:rPr>
        <w:t>broadly</w:t>
      </w:r>
      <w:r w:rsidRPr="00806BB7">
        <w:rPr>
          <w:szCs w:val="24"/>
        </w:rPr>
        <w:t xml:space="preserve"> classified as</w:t>
      </w:r>
      <w:r w:rsidR="0081049D" w:rsidRPr="00806BB7">
        <w:rPr>
          <w:szCs w:val="24"/>
        </w:rPr>
        <w:t>:</w:t>
      </w:r>
      <w:r w:rsidRPr="00806BB7">
        <w:rPr>
          <w:szCs w:val="24"/>
        </w:rPr>
        <w:t xml:space="preserve"> </w:t>
      </w:r>
      <w:r w:rsidRPr="00574F96">
        <w:rPr>
          <w:b/>
          <w:szCs w:val="24"/>
        </w:rPr>
        <w:t>phonological deficits</w:t>
      </w:r>
      <w:r w:rsidR="0081049D" w:rsidRPr="00806BB7">
        <w:rPr>
          <w:szCs w:val="24"/>
        </w:rPr>
        <w:t xml:space="preserve">, in which word reading difficulty is explained via </w:t>
      </w:r>
      <w:r w:rsidR="00ED42E4" w:rsidRPr="00806BB7">
        <w:rPr>
          <w:szCs w:val="24"/>
        </w:rPr>
        <w:lastRenderedPageBreak/>
        <w:t xml:space="preserve">degraded phonological representations (i.e., </w:t>
      </w:r>
      <w:r w:rsidR="0081049D" w:rsidRPr="00806BB7">
        <w:rPr>
          <w:szCs w:val="24"/>
        </w:rPr>
        <w:t>phonological awareness</w:t>
      </w:r>
      <w:r w:rsidR="00ED42E4" w:rsidRPr="00806BB7">
        <w:rPr>
          <w:szCs w:val="24"/>
        </w:rPr>
        <w:t>, verbal short-term and working memory, and sometimes rapid automatized naming)</w:t>
      </w:r>
      <w:r w:rsidR="0081049D" w:rsidRPr="00806BB7">
        <w:rPr>
          <w:szCs w:val="24"/>
        </w:rPr>
        <w:t xml:space="preserve"> </w:t>
      </w:r>
      <w:r w:rsidR="00AF062E" w:rsidRPr="00806BB7">
        <w:rPr>
          <w:szCs w:val="24"/>
        </w:rPr>
        <w:fldChar w:fldCharType="begin"/>
      </w:r>
      <w:r w:rsidR="00AF062E" w:rsidRPr="00806BB7">
        <w:rPr>
          <w:szCs w:val="24"/>
        </w:rPr>
        <w:instrText xml:space="preserve"> ADDIN ZOTERO_ITEM CSL_CITATION {"citationID":"Py13Doiu","properties":{"formattedCitation":"(Snowling, 2000, 2001)","plainCitation":"(Snowling, 2000, 2001)","noteIndex":0},"citationItems":[{"id":466,"uris":["http://zotero.org/users/6317667/items/YZ2AS4N7"],"uri":["http://zotero.org/users/6317667/items/YZ2AS4N7"],"itemData":{"id":466,"type":"book","abstract":"Although the problem of dyslexia is widely recognized, its definition continues to be debated. This new edition of the classic book provides a synthesis of research on the cognitive deficits of dyslexia and reviews evidence concerning its biological bases. The author considers not only the causes of reading and spelling problems, but also how, in spite of their difficulties, dyslexic children accomplish levels of literacy that initially seem beyond them. This edition has been substantially rewritten, updated, and extended to cover the biology of dyslexia, recent research on auditory and visual processing in dyslexia, and studies that evaluate teaching interventions for dyslexic children. (PsycINFO Database Record (c) 2016 APA, all rights reserved)","collection-title":"Dyslexia, 2nd ed","event-place":"Malden","ISBN":"978-0-631-22144-9","note":"page: xiv, 253","number-of-pages":"xiv, 253","publisher":"Blackwell Publishing","publisher-place":"Malden","source":"APA PsycNET","title":"Dyslexia, 2nd ed","author":[{"family":"Snowling","given":"Margaret J."}],"issued":{"date-parts":[["2000"]]}}},{"id":463,"uris":["http://zotero.org/users/6317667/items/EJLJ33IJ"],"uri":["http://zotero.org/users/6317667/items/EJLJ33IJ"],"itemData":{"id":463,"type":"article-journal","abstract":"This paper reviews evidence in support of the phonological deficit hypothesis of dyslexia. Findings from two experimental studies suggest that the phonological deficits of dyslexic children and adults cannot be explained in terms of impairments in low-level auditory mechanisms, but reflect higher-level language weaknesses. A study of individual differences in the pattern of reading skills in dyslexic children rejects the notion of ‘sub-types’. Instead, the findings suggest that the variation seen in reading processes can be accounted for by differences in the severity of individual children's phonological deficits, modified by compensatory factors including visual memory, perceptual speed and print exposure. Children at genetic risk who go on to be dyslexic come to the task of reading with poorly specified phonological representations in the context of a more general delay in oral language development. Their prognosis (and that of their unaffected siblings) depends upon the balance of strengths and difficulties they show, with better language skills being a protective factor. Taken together, these findings suggest that current challenges to the phonological deficit theory can be met. Copyright © 2001 John Wiley &amp; Sons, Ltd.","container-title":"Dyslexia","DOI":"10.1002/dys.185","ISSN":"1099-0909","issue":"1","language":"en","note":"_eprint: https://onlinelibrary.wiley.com/doi/pdf/10.1002/dys.185","page":"37-46","source":"Wiley Online Library","title":"From language to reading and dyslexia","volume":"7","author":[{"family":"Snowling","given":"Margaret J."}],"issued":{"date-parts":[["2001"]]}}}],"schema":"https://github.com/citation-style-language/schema/raw/master/csl-citation.json"} </w:instrText>
      </w:r>
      <w:r w:rsidR="00AF062E" w:rsidRPr="00806BB7">
        <w:rPr>
          <w:szCs w:val="24"/>
        </w:rPr>
        <w:fldChar w:fldCharType="separate"/>
      </w:r>
      <w:r w:rsidR="00AF062E" w:rsidRPr="00806BB7">
        <w:rPr>
          <w:rFonts w:cs="Times New Roman"/>
          <w:szCs w:val="24"/>
        </w:rPr>
        <w:t>(Snowling, 2000, 2001)</w:t>
      </w:r>
      <w:r w:rsidR="00AF062E" w:rsidRPr="00806BB7">
        <w:rPr>
          <w:szCs w:val="24"/>
        </w:rPr>
        <w:fldChar w:fldCharType="end"/>
      </w:r>
      <w:r w:rsidR="0081049D" w:rsidRPr="00806BB7">
        <w:rPr>
          <w:szCs w:val="24"/>
        </w:rPr>
        <w:t xml:space="preserve">; </w:t>
      </w:r>
      <w:r w:rsidR="0081049D" w:rsidRPr="00574F96">
        <w:rPr>
          <w:b/>
          <w:szCs w:val="24"/>
        </w:rPr>
        <w:t>auditory processing deficits</w:t>
      </w:r>
      <w:r w:rsidR="0081049D" w:rsidRPr="00806BB7">
        <w:rPr>
          <w:szCs w:val="24"/>
        </w:rPr>
        <w:t xml:space="preserve">, expressed as </w:t>
      </w:r>
      <w:r w:rsidR="00F97545" w:rsidRPr="00806BB7">
        <w:rPr>
          <w:szCs w:val="24"/>
        </w:rPr>
        <w:t>general auditory processing deficits which lead to reduced phonetic perception</w:t>
      </w:r>
      <w:r w:rsidR="00443F80" w:rsidRPr="00806BB7">
        <w:rPr>
          <w:szCs w:val="24"/>
        </w:rPr>
        <w:t xml:space="preserve"> </w:t>
      </w:r>
      <w:r w:rsidR="00344732" w:rsidRPr="00806BB7">
        <w:rPr>
          <w:szCs w:val="24"/>
        </w:rPr>
        <w:fldChar w:fldCharType="begin"/>
      </w:r>
      <w:r w:rsidR="00E87EF4" w:rsidRPr="00806BB7">
        <w:rPr>
          <w:szCs w:val="24"/>
        </w:rPr>
        <w:instrText xml:space="preserve"> ADDIN ZOTERO_ITEM CSL_CITATION {"citationID":"iq5YZKSu","properties":{"formattedCitation":"(M. Ahissar et al., 2000; Tallal, 1980)","plainCitation":"(M. Ahissar et al., 2000; Tallal, 1980)","dontUpdate":true,"noteIndex":0},"citationItems":[{"id":455,"uris":["http://zotero.org/users/6317667/items/U4FB5MAF"],"uri":["http://zotero.org/users/6317667/items/U4FB5MAF"],"itemData":{"id":455,"type":"article-journal","abstract":"A broad battery of psychoacoustic measures and standard measures of reading and spelling were applied to 102 adults. The test group included individuals with a childhood history of reading difficulties and controls with no reported reading difficulties. Reading scores were variable in both groups. Poor auditory processing abilities were recorded in poor readers; particular difficulties were posed by tasks requiring spectral distinctions, the simplest of which was pure tone frequency discrimination. In absolute terms, the greatest deficits were recorded in tasks in which stimuli were presented in brief forms and in rapid succession. Auditory processing abilities accounted for more than 50% of the reading score variance in the control group, but their correlation with reading scores was lower in the group with childhood histories of reading difficulties. The additional variability in the latter group resulted largely from the prevalence of reading-compensated poor psychoacoustic performers, whose short-term word memory was also typically poor. Taken together, these findings support a link between impaired auditory resolution and poor reading. Psychoacoustic difficulties are largely retained through adulthood and may be the source of the retained reading difficulties.","container-title":"Proceedings of the National Academy of Sciences of the United States of America","DOI":"10.1073/pnas.97.12.6832","ISSN":"0027-8424","issue":"12","journalAbbreviation":"Proc. Natl. Acad. Sci. U.S.A.","language":"eng","note":"PMID: 10841578\nPMCID: PMC18757","page":"6832-6837","source":"PubMed","title":"Auditory processing parallels reading abilities in adults","volume":"97","author":[{"family":"Ahissar","given":"M."},{"family":"Protopapas","given":"A."},{"family":"Reid","given":"M."},{"family":"Merzenich","given":"M. M."}],"issued":{"date-parts":[["2000",6,6]]}}},{"id":40,"uris":["http://zotero.org/users/6317667/items/8KWR99QE"],"uri":["http://zotero.org/users/6317667/items/8KWR99QE"],"itemData":{"id":40,"type":"article-journal","abstract":"Reading-impaired and control children were given an experimental battery of nonverbal auditory perceptual tests which examined discrimination and temporal order perception. Stimulus tones were presented at various rates. There were no significant differences between groups on tests in which stimuli were presented at slow rates. However, when the same stimuli were presented more rapidly, the reading-impaired group made significantly more errors than the controls. The reading-impaired children's ability to use phonics skills (nonsense word reading) was also examined. There was a high correlation between the number of errors made on the phonics reading test and the number of errors made in responding to the rapidly presented stimuli in the auditory perceptual tests. The hypothesis that some reading impairments are related to low-level auditory perceptual dysfunction that affects the ability to learn to use phonics skills adequately is discussed.","container-title":"Brain and Language","DOI":"https://doi.org/10.1016/0093-934X(80)90139-X","ISSN":"0093-934X","issue":"2","page":"182-198","title":"Auditory temporal perception, phonics, and reading disabilities in children","volume":"9","author":[{"family":"Tallal","given":"Paula"}],"issued":{"date-parts":[["1980",3,1]]}}}],"schema":"https://github.com/citation-style-language/schema/raw/master/csl-citation.json"} </w:instrText>
      </w:r>
      <w:r w:rsidR="00344732" w:rsidRPr="00806BB7">
        <w:rPr>
          <w:szCs w:val="24"/>
        </w:rPr>
        <w:fldChar w:fldCharType="separate"/>
      </w:r>
      <w:r w:rsidR="004F04D3" w:rsidRPr="00806BB7">
        <w:rPr>
          <w:rFonts w:cs="Times New Roman"/>
          <w:szCs w:val="24"/>
        </w:rPr>
        <w:t>(Ahissar et al., 2000; Tallal, 1980)</w:t>
      </w:r>
      <w:r w:rsidR="00344732" w:rsidRPr="00806BB7">
        <w:rPr>
          <w:szCs w:val="24"/>
        </w:rPr>
        <w:fldChar w:fldCharType="end"/>
      </w:r>
      <w:r w:rsidR="00344732" w:rsidRPr="00806BB7">
        <w:rPr>
          <w:szCs w:val="24"/>
        </w:rPr>
        <w:t xml:space="preserve"> with noted extensions to the temporal domain </w:t>
      </w:r>
      <w:r w:rsidR="00344732" w:rsidRPr="00806BB7">
        <w:rPr>
          <w:szCs w:val="24"/>
        </w:rPr>
        <w:fldChar w:fldCharType="begin"/>
      </w:r>
      <w:r w:rsidR="00344732" w:rsidRPr="00806BB7">
        <w:rPr>
          <w:szCs w:val="24"/>
        </w:rPr>
        <w:instrText xml:space="preserve"> ADDIN ZOTERO_ITEM CSL_CITATION {"citationID":"69HEXYaa","properties":{"formattedCitation":"(Goswami, 2011; Goswami et al., 2002)","plainCitation":"(Goswami, 2011; Goswami et al., 2002)","noteIndex":0},"citationItems":[{"id":461,"uris":["http://zotero.org/users/6317667/items/26RGIRZQ"],"uri":["http://zotero.org/users/6317667/items/26RGIRZQ"],"itemData":{"id":461,"type":"article-journal","abstract":"Neural coding by brain oscillations is a major focus in neuroscience, with important implications for dyslexia research. Here, I argue that an oscillatory 'temporal sampling' framework enables diverse data from developmental dyslexia to be drawn into an integrated theoretical framework. The core deficit in dyslexia is phonological. Temporal sampling of speech by neuroelectric oscillations that encode incoming information at different frequencies could explain the perceptual and phonological difficulties with syllables, rhymes and phonemes found in individuals with dyslexia. A conceptual framework based on oscillations that entrain to sensory input also has implications for other sensory theories of dyslexia, offering opportunities for integrating a diverse and confusing experimental literature.","container-title":"Trends in Cognitive Sciences","DOI":"10.1016/j.tics.2010.10.001","ISSN":"1879-307X","issue":"1","journalAbbreviation":"Trends Cogn. Sci. (Regul. Ed.)","language":"eng","note":"PMID: 21093350","page":"3-10","source":"PubMed","title":"A temporal sampling framework for developmental dyslexia","volume":"15","author":[{"family":"Goswami","given":"Usha"}],"issued":{"date-parts":[["2011",1]]}}},{"id":458,"uris":["http://zotero.org/users/6317667/items/JMATNXIA"],"uri":["http://zotero.org/users/6317667/items/JMATNXIA"],"itemData":{"id":458,"type":"article-journal","abstract":"A core difficulty in developmental dyslexia is the accurate specification and neural representation of speech. We argue that a likely perceptual cause of this difficulty is a deficit in the perceptual experience of rhythmic timing. Speech rhythm is one of the earliest cues used by infants to discriminate syllables and is determined principally by the acoustic structure of amplitude modulation at relatively low rates in the signal. We show significant differences between dyslexic and normally reading children, and between young early readers and normal developers, in amplitude envelope onset detection. We further show that individual differences in sensitivity to the shape of amplitude modulation account for 25% of the variance in reading and spelling acquisition even after controlling for individual differences in age, nonverbal IQ, and vocabulary. A possible causal explanation dependent on perceptual-center detection and the onset-rime representation of syllables is discussed.","container-title":"Proceedings of the National Academy of Sciences of the United States of America","DOI":"10.1073/pnas.122368599","ISSN":"0027-8424","issue":"16","journalAbbreviation":"Proc. Natl. Acad. Sci. U.S.A.","language":"eng","note":"PMID: 12142463\nPMCID: PMC125072","page":"10911-10916","source":"PubMed","title":"Amplitude envelope onsets and developmental dyslexia: A new hypothesis","title-short":"Amplitude envelope onsets and developmental dyslexia","volume":"99","author":[{"family":"Goswami","given":"Usha"},{"family":"Thomson","given":"Jennifer"},{"family":"Richardson","given":"Ulla"},{"family":"Stainthorp","given":"Rhona"},{"family":"Hughes","given":"Diana"},{"family":"Rosen","given":"Stuart"},{"family":"Scott","given":"Sophie K."}],"issued":{"date-parts":[["2002",8,6]]}}}],"schema":"https://github.com/citation-style-language/schema/raw/master/csl-citation.json"} </w:instrText>
      </w:r>
      <w:r w:rsidR="00344732" w:rsidRPr="00806BB7">
        <w:rPr>
          <w:szCs w:val="24"/>
        </w:rPr>
        <w:fldChar w:fldCharType="separate"/>
      </w:r>
      <w:r w:rsidR="00344732" w:rsidRPr="00806BB7">
        <w:rPr>
          <w:rFonts w:cs="Times New Roman"/>
          <w:szCs w:val="24"/>
        </w:rPr>
        <w:t>(Goswami, 2011; Goswami et al., 2002)</w:t>
      </w:r>
      <w:r w:rsidR="00344732" w:rsidRPr="00806BB7">
        <w:rPr>
          <w:szCs w:val="24"/>
        </w:rPr>
        <w:fldChar w:fldCharType="end"/>
      </w:r>
      <w:r w:rsidR="00F97545" w:rsidRPr="00806BB7">
        <w:rPr>
          <w:szCs w:val="24"/>
        </w:rPr>
        <w:t xml:space="preserve">; and </w:t>
      </w:r>
      <w:r w:rsidR="00F97545" w:rsidRPr="00574F96">
        <w:rPr>
          <w:b/>
          <w:szCs w:val="24"/>
        </w:rPr>
        <w:t xml:space="preserve">visual </w:t>
      </w:r>
      <w:r w:rsidR="00ED42E4" w:rsidRPr="00574F96">
        <w:rPr>
          <w:b/>
          <w:szCs w:val="24"/>
        </w:rPr>
        <w:t>processing deficits</w:t>
      </w:r>
      <w:r w:rsidR="00F97545" w:rsidRPr="00806BB7">
        <w:rPr>
          <w:szCs w:val="24"/>
        </w:rPr>
        <w:t>,</w:t>
      </w:r>
      <w:r w:rsidR="00E37662" w:rsidRPr="00806BB7">
        <w:rPr>
          <w:szCs w:val="24"/>
        </w:rPr>
        <w:t xml:space="preserve"> expressed as reduced visual-spatial attention for single</w:t>
      </w:r>
      <w:r w:rsidR="00443F80" w:rsidRPr="00806BB7">
        <w:rPr>
          <w:szCs w:val="24"/>
        </w:rPr>
        <w:t xml:space="preserve"> letters</w:t>
      </w:r>
      <w:r w:rsidR="00E37662" w:rsidRPr="00806BB7">
        <w:rPr>
          <w:szCs w:val="24"/>
        </w:rPr>
        <w:t xml:space="preserve"> or letter strings</w:t>
      </w:r>
      <w:r w:rsidR="008531B5" w:rsidRPr="00806BB7">
        <w:rPr>
          <w:szCs w:val="24"/>
        </w:rPr>
        <w:t xml:space="preserve"> </w:t>
      </w:r>
      <w:r w:rsidR="00ED42E4" w:rsidRPr="00806BB7">
        <w:rPr>
          <w:szCs w:val="24"/>
        </w:rPr>
        <w:fldChar w:fldCharType="begin"/>
      </w:r>
      <w:r w:rsidR="004F04D3" w:rsidRPr="00806BB7">
        <w:rPr>
          <w:szCs w:val="24"/>
        </w:rPr>
        <w:instrText xml:space="preserve"> ADDIN ZOTERO_ITEM CSL_CITATION {"citationID":"i75QThGP","properties":{"formattedCitation":"(Livingstone et al., 1991; Skottun, 2000)","plainCitation":"(Livingstone et al., 1991; Skottun, 2000)","dontUpdate":true,"noteIndex":0},"citationItems":[{"id":449,"uris":["http://zotero.org/users/6317667/items/9R564DSY"],"uri":["http://zotero.org/users/6317667/items/9R564DSY"],"itemData":{"id":449,"type":"article-journal","abstract":"Several behavioral studies have shown that developmental dyslexics do poorly in tests requiring rapid visual processing. In primates fast, low-contrast visual information is carried by the magnocellular subdivision of the visual pathway, and slow, high-contrast information is carried by the parvocellular division. In this study, we found that dyslexic subjects showed diminished visually evoked potentials to rapid, low-contrast stimuli but normal responses to slow or high-contrast stimuli. The abnormalities in the dyslexic subjects' evoked potentials were consistent with a defect in the magnocellular pathway at the level of visual area 1 or earlier. We then compared the lateral geniculate nuclei from five dyslexic brains to five control brains and found abnormalities in the magnocellular, but not the parvocellular, layers. Studies using auditory and somatosensory tests have shown that dyslexics do poorly in these modalities only when the tests require rapid discriminations. We therefore hypothesize that many cortical systems are similarly divided into a fast and a slow subdivision and that dyslexia specifically affects the fast subdivisions.","container-title":"Proceedings of the National Academy of Sciences of the United States of America","ISSN":"0027-8424","issue":"18","journalAbbreviation":"Proc Natl Acad Sci U S A","note":"PMID: 1896444\nPMCID: PMC52421","page":"7943-7947","source":"PubMed Central","title":"Physiological and anatomical evidence for a magnocellular defect in developmental dyslexia.","volume":"88","author":[{"family":"Livingstone","given":"M S"},{"family":"Rosen","given":"G D"},{"family":"Drislane","given":"F W"},{"family":"Galaburda","given":"A M"}],"issued":{"date-parts":[["1991",9,15]]}}},{"id":452,"uris":["http://zotero.org/users/6317667/items/J5NM4PWK"],"uri":["http://zotero.org/users/6317667/items/J5NM4PWK"],"itemData":{"id":452,"type":"article-journal","abstract":"A number of authors have made the claim that dyslexia is the result of a deficit in the magnocellular part of the visual system. Most of the evidence cited in support of this claim is from contrast sensitivity studies. The present review surveys this evidence. The result of this survey shows that the support for the magnocellular deficit theory is equivocal. In the case of spatial contrast sensitivity there clearly are results that are consistent with the magnocellular deficit theory; however, these results are outnumbered both by studies that have found no loss of sensitivity and by studies that have found contrast sensitivity reductions that are inconsistent with a magnocellular deficit. Many of the studies of temporal contrast sensitivity are also difficult to reconcile with a magnocellular deficit. The evidence from studies of contrast sensitivity is therefore highly conflicting with regard to the magnocellular system deficit theory of dyslexia.","container-title":"Vision Research","DOI":"10.1016/S0042-6989(99)00170-4","ISSN":"0042-6989","issue":"1","journalAbbreviation":"Vision Research","language":"en","page":"111-127","source":"ScienceDirect","title":"The magnocellular deficit theory of dyslexia: the evidence from contrast sensitivity","title-short":"The magnocellular deficit theory of dyslexia","volume":"40","author":[{"family":"Skottun","given":"Bernt Christian"}],"issued":{"date-parts":[["2000",1,1]]}}}],"schema":"https://github.com/citation-style-language/schema/raw/master/csl-citation.json"} </w:instrText>
      </w:r>
      <w:r w:rsidR="00ED42E4" w:rsidRPr="00806BB7">
        <w:rPr>
          <w:szCs w:val="24"/>
        </w:rPr>
        <w:fldChar w:fldCharType="separate"/>
      </w:r>
      <w:r w:rsidR="000452B1" w:rsidRPr="00806BB7">
        <w:rPr>
          <w:rFonts w:cs="Times New Roman"/>
          <w:szCs w:val="24"/>
        </w:rPr>
        <w:t>(Livingstone et al., 1991; for review, see Skottun, 2000)</w:t>
      </w:r>
      <w:r w:rsidR="00ED42E4" w:rsidRPr="00806BB7">
        <w:rPr>
          <w:szCs w:val="24"/>
        </w:rPr>
        <w:fldChar w:fldCharType="end"/>
      </w:r>
      <w:r w:rsidR="008531B5" w:rsidRPr="00806BB7">
        <w:rPr>
          <w:szCs w:val="24"/>
        </w:rPr>
        <w:t xml:space="preserve">. </w:t>
      </w:r>
      <w:r w:rsidR="005B2286" w:rsidRPr="00806BB7">
        <w:rPr>
          <w:szCs w:val="24"/>
        </w:rPr>
        <w:t xml:space="preserve">The robustness of these accounts </w:t>
      </w:r>
      <w:r w:rsidR="00CF5E3F" w:rsidRPr="00806BB7">
        <w:rPr>
          <w:szCs w:val="24"/>
        </w:rPr>
        <w:t>is</w:t>
      </w:r>
      <w:r w:rsidR="005B2286" w:rsidRPr="00806BB7">
        <w:rPr>
          <w:szCs w:val="24"/>
        </w:rPr>
        <w:t xml:space="preserve"> generally </w:t>
      </w:r>
      <w:r w:rsidR="00413880" w:rsidRPr="00806BB7">
        <w:rPr>
          <w:szCs w:val="24"/>
        </w:rPr>
        <w:t>quantified</w:t>
      </w:r>
      <w:r w:rsidR="005B2286" w:rsidRPr="00806BB7">
        <w:rPr>
          <w:szCs w:val="24"/>
        </w:rPr>
        <w:t xml:space="preserve"> via associations between </w:t>
      </w:r>
      <w:r w:rsidR="004F4E2E">
        <w:rPr>
          <w:szCs w:val="24"/>
        </w:rPr>
        <w:t xml:space="preserve">cognition/perception </w:t>
      </w:r>
      <w:r w:rsidR="009E2C7E" w:rsidRPr="00806BB7">
        <w:rPr>
          <w:szCs w:val="24"/>
        </w:rPr>
        <w:t>and</w:t>
      </w:r>
      <w:r w:rsidR="00413880" w:rsidRPr="00806BB7">
        <w:rPr>
          <w:szCs w:val="24"/>
        </w:rPr>
        <w:t xml:space="preserve"> reading </w:t>
      </w:r>
      <w:r w:rsidR="004A7DFE" w:rsidRPr="00806BB7">
        <w:rPr>
          <w:szCs w:val="24"/>
        </w:rPr>
        <w:t>performance</w:t>
      </w:r>
      <w:r w:rsidR="00413880" w:rsidRPr="00806BB7">
        <w:rPr>
          <w:szCs w:val="24"/>
        </w:rPr>
        <w:t>.</w:t>
      </w:r>
      <w:r w:rsidR="00B6625A" w:rsidRPr="00806BB7">
        <w:rPr>
          <w:szCs w:val="24"/>
        </w:rPr>
        <w:t xml:space="preserve"> However, these univariate approaches </w:t>
      </w:r>
      <w:r w:rsidR="0094726C" w:rsidRPr="00806BB7">
        <w:rPr>
          <w:szCs w:val="24"/>
        </w:rPr>
        <w:t xml:space="preserve">are often unable </w:t>
      </w:r>
      <w:r w:rsidR="0007160A" w:rsidRPr="00806BB7">
        <w:rPr>
          <w:szCs w:val="24"/>
        </w:rPr>
        <w:t xml:space="preserve">to account for the </w:t>
      </w:r>
      <w:r w:rsidR="00894F2F" w:rsidRPr="00806BB7">
        <w:rPr>
          <w:rFonts w:cs="Times New Roman"/>
          <w:szCs w:val="24"/>
          <w:lang w:val="en-US"/>
        </w:rPr>
        <w:t xml:space="preserve">heterogeneous nature of </w:t>
      </w:r>
      <w:r w:rsidR="00443F80" w:rsidRPr="00806BB7">
        <w:rPr>
          <w:rFonts w:cs="Times New Roman"/>
          <w:szCs w:val="24"/>
          <w:lang w:val="en-US"/>
        </w:rPr>
        <w:t>dyslexia</w:t>
      </w:r>
      <w:r w:rsidR="00894F2F" w:rsidRPr="00806BB7">
        <w:rPr>
          <w:rFonts w:cs="Times New Roman"/>
          <w:szCs w:val="24"/>
          <w:lang w:val="en-US"/>
        </w:rPr>
        <w:t xml:space="preserve"> and variable manifestations of reading </w:t>
      </w:r>
      <w:r w:rsidR="004F4E2E">
        <w:rPr>
          <w:rFonts w:cs="Times New Roman"/>
          <w:szCs w:val="24"/>
          <w:lang w:val="en-US"/>
        </w:rPr>
        <w:t xml:space="preserve">difficulties </w:t>
      </w:r>
      <w:r w:rsidR="00A36826" w:rsidRPr="00806BB7">
        <w:rPr>
          <w:rFonts w:cs="Times New Roman"/>
          <w:szCs w:val="24"/>
          <w:lang w:val="en-US"/>
        </w:rPr>
        <w:fldChar w:fldCharType="begin"/>
      </w:r>
      <w:r w:rsidR="000A1229" w:rsidRPr="00806BB7">
        <w:rPr>
          <w:rFonts w:cs="Times New Roman"/>
          <w:szCs w:val="24"/>
          <w:lang w:val="en-US"/>
        </w:rPr>
        <w:instrText xml:space="preserve"> ADDIN ZOTERO_ITEM CSL_CITATION {"citationID":"5pWIBfdC","properties":{"formattedCitation":"(Parrila et al., 2017; Ramus &amp; Ahissar, 2012)","plainCitation":"(Parrila et al., 2017; Ramus &amp; Ahissar, 2012)","noteIndex":0},"citationItems":[{"id":333,"uris":["http://zotero.org/users/6317667/items/LLVLFU6P"],"uri":["http://zotero.org/users/6317667/items/LLVLFU6P"],"itemData":{"id":333,"type":"book","abstract":"The use of printed words to capture language is one of the most remarkable inventions of humankind, and learning to read them is one of the most remarkable achievements of individuals. In recent decades, how we learn to read and understand printed text has been studied intensely in genetics, education, psychology, and cognitive science, and both the volume of research papers and breadth of the topics they examine have increased exponentially. Theories of Reading Development collects within a single volume state-of-the-art descriptions of important theories of reading development and disabilities. The included chapters focus on multiple aspects of reading development and are written by leading experts in the field. Each chapter is an independent theoretical review of the topic to which the authors have made a significant contribution and can be enjoyed on its own, or in relation to others in the book. The volume is written for professionals, graduate students, and researchers in education, psychology, and cognitive neuroscience. It can be used either as a core or as a supplementary text in senior undergraduate and graduate education and psychology courses focusing on reading development.","collection-title":"Studies in Written Language and Literacy","event-place":"Amsterdam","ISBN":"978-90-272-1811-7","language":"English","note":"issue: Vol. 15","publisher":"John Benjamins Publishing Company","publisher-place":"Amsterdam","source":"EBSCOhost","title":"Theories of Reading Development","URL":"http://simsrad.net.ocs.mq.edu.au/login?url=https://search.ebscohost.com/login.aspx?direct=true&amp;db=nlebk&amp;AN=1572178&amp;site=ehost-live","author":[{"family":"Parrila","given":"Rauno K."},{"family":"Cain","given":"Kate"},{"family":"Compton","given":"Donald L."}],"accessed":{"date-parts":[["2020",6,2]]},"issued":{"date-parts":[["2017"]]}}},{"id":281,"uris":["http://zotero.org/users/6317667/items/45W8FJBD"],"uri":["http://zotero.org/users/6317667/items/45W8FJBD"],"itemData":{"id":281,"type":"article-journal","abstract":"This paper provides a selective review of data on phonology, audition, vision, and learning abilities in developmental dyslexia, with a specific focus on patterns of normal alongside poor performance. Indeed we highlight the difficulties of interpreting poor performance, and we criticize theories of dyslexia that are exclusively suited to explaining poor performance, at the risk of overgeneralizing and predicting deficits in many more situations than are observed. We highlight a number of tasks and conditions where individuals with dyslexia seem to show perfectly normal performance, and we discuss the value of taking such data seriously into account and the difficulties of current theories to explain them. Finally, we discuss the experimental challenges for tasks investigating the nature of cognitive deficits in dyslexia and in other developmental disorders and the challenges for any proper theory of dyslexia aiming to explain cases of normal as well as poor performance.","container-title":"Cognitive Neuropsychology","DOI":"10.1080/02643294.2012.677420","ISSN":"0264-3294","issue":"1-2","note":"publisher: Routledge\n_eprint: https://doi.org/10.1080/02643294.2012.677420\nPMID: 22559749","page":"104-122","source":"Taylor and Francis+NEJM","title":"Developmental dyslexia: The difficulties of interpreting poor performance, and the importance of normal performance","title-short":"Developmental dyslexia","volume":"29","author":[{"family":"Ramus","given":"Franck"},{"family":"Ahissar","given":"Merav"}],"issued":{"date-parts":[["2012",3,1]]}}}],"schema":"https://github.com/citation-style-language/schema/raw/master/csl-citation.json"} </w:instrText>
      </w:r>
      <w:r w:rsidR="00A36826" w:rsidRPr="00806BB7">
        <w:rPr>
          <w:rFonts w:cs="Times New Roman"/>
          <w:szCs w:val="24"/>
          <w:lang w:val="en-US"/>
        </w:rPr>
        <w:fldChar w:fldCharType="separate"/>
      </w:r>
      <w:r w:rsidR="000A1229" w:rsidRPr="00806BB7">
        <w:rPr>
          <w:rFonts w:cs="Times New Roman"/>
          <w:szCs w:val="24"/>
        </w:rPr>
        <w:t>(Parrila et al., 2017; Ramus &amp; Ahissar, 2012)</w:t>
      </w:r>
      <w:r w:rsidR="00A36826" w:rsidRPr="00806BB7">
        <w:rPr>
          <w:rFonts w:cs="Times New Roman"/>
          <w:szCs w:val="24"/>
          <w:lang w:val="en-US"/>
        </w:rPr>
        <w:fldChar w:fldCharType="end"/>
      </w:r>
      <w:r w:rsidR="00894F2F" w:rsidRPr="00806BB7">
        <w:rPr>
          <w:rFonts w:cs="Times New Roman"/>
          <w:szCs w:val="24"/>
          <w:lang w:val="en-US"/>
        </w:rPr>
        <w:t>.</w:t>
      </w:r>
      <w:r w:rsidR="00A144CD">
        <w:rPr>
          <w:rFonts w:cs="Times New Roman"/>
          <w:szCs w:val="24"/>
          <w:lang w:val="en-US"/>
        </w:rPr>
        <w:t xml:space="preserve"> </w:t>
      </w:r>
    </w:p>
    <w:p w14:paraId="6145AF7E" w14:textId="40C87775" w:rsidR="00B47E6E" w:rsidRPr="00806BB7" w:rsidRDefault="00B47E6E" w:rsidP="00B47E6E">
      <w:pPr>
        <w:pStyle w:val="Heading2"/>
        <w:rPr>
          <w:szCs w:val="24"/>
        </w:rPr>
      </w:pPr>
      <w:bookmarkStart w:id="3" w:name="_Toc39065429"/>
      <w:r w:rsidRPr="00806BB7">
        <w:rPr>
          <w:szCs w:val="24"/>
        </w:rPr>
        <w:t xml:space="preserve">Perceptual Anchoring and </w:t>
      </w:r>
      <w:bookmarkEnd w:id="3"/>
      <w:r w:rsidR="0073767A" w:rsidRPr="00806BB7">
        <w:rPr>
          <w:szCs w:val="24"/>
        </w:rPr>
        <w:t>Dyslexia</w:t>
      </w:r>
      <w:r w:rsidR="00A144CD">
        <w:rPr>
          <w:szCs w:val="24"/>
        </w:rPr>
        <w:t xml:space="preserve"> </w:t>
      </w:r>
    </w:p>
    <w:p w14:paraId="496A5D60" w14:textId="4FCD54FA" w:rsidR="00B47E6E" w:rsidRPr="00806BB7" w:rsidRDefault="006D026B" w:rsidP="00B47284">
      <w:pPr>
        <w:ind w:firstLine="0"/>
        <w:contextualSpacing/>
        <w:rPr>
          <w:rFonts w:cs="Times New Roman"/>
          <w:szCs w:val="24"/>
          <w:lang w:val="en-US"/>
        </w:rPr>
      </w:pPr>
      <w:r w:rsidRPr="00806BB7">
        <w:rPr>
          <w:rFonts w:cs="Times New Roman"/>
          <w:szCs w:val="24"/>
          <w:lang w:val="en-US"/>
        </w:rPr>
        <w:tab/>
      </w:r>
      <w:r w:rsidR="00842FB8" w:rsidRPr="00806BB7">
        <w:rPr>
          <w:rFonts w:cs="Times New Roman"/>
          <w:szCs w:val="24"/>
          <w:lang w:val="en-US"/>
        </w:rPr>
        <w:t>T</w:t>
      </w:r>
      <w:r w:rsidR="00B47E6E" w:rsidRPr="00806BB7">
        <w:rPr>
          <w:rFonts w:cs="Times New Roman"/>
          <w:szCs w:val="24"/>
          <w:lang w:val="en-US"/>
        </w:rPr>
        <w:t xml:space="preserve">he </w:t>
      </w:r>
      <w:r w:rsidR="00806BB7" w:rsidRPr="00806BB7">
        <w:rPr>
          <w:rFonts w:cs="Times New Roman"/>
          <w:szCs w:val="24"/>
          <w:lang w:val="en-US"/>
        </w:rPr>
        <w:t xml:space="preserve">perceptual </w:t>
      </w:r>
      <w:r w:rsidR="00B47E6E" w:rsidRPr="00806BB7">
        <w:rPr>
          <w:rFonts w:cs="Times New Roman"/>
          <w:szCs w:val="24"/>
          <w:lang w:val="en-US"/>
        </w:rPr>
        <w:t>anchoring deficit hypothesis</w:t>
      </w:r>
      <w:r w:rsidR="00264BE4" w:rsidRPr="00806BB7">
        <w:rPr>
          <w:rFonts w:cs="Times New Roman"/>
          <w:szCs w:val="24"/>
          <w:lang w:val="en-US"/>
        </w:rPr>
        <w:t xml:space="preserve">, an extension of auditory processing </w:t>
      </w:r>
      <w:r w:rsidRPr="00806BB7">
        <w:rPr>
          <w:rFonts w:cs="Times New Roman"/>
          <w:szCs w:val="24"/>
          <w:lang w:val="en-US"/>
        </w:rPr>
        <w:t>deficit theories</w:t>
      </w:r>
      <w:r w:rsidR="00264BE4" w:rsidRPr="00806BB7">
        <w:rPr>
          <w:rFonts w:cs="Times New Roman"/>
          <w:szCs w:val="24"/>
          <w:lang w:val="en-US"/>
        </w:rPr>
        <w:t>,</w:t>
      </w:r>
      <w:r w:rsidR="00B47E6E" w:rsidRPr="00806BB7">
        <w:rPr>
          <w:rFonts w:cs="Times New Roman"/>
          <w:szCs w:val="24"/>
          <w:lang w:val="en-US"/>
        </w:rPr>
        <w:t xml:space="preserve"> is </w:t>
      </w:r>
      <w:r w:rsidRPr="00806BB7">
        <w:rPr>
          <w:rFonts w:cs="Times New Roman"/>
          <w:szCs w:val="24"/>
          <w:lang w:val="en-US"/>
        </w:rPr>
        <w:t xml:space="preserve">a more recent univariate approach to </w:t>
      </w:r>
      <w:r w:rsidR="00DA50D1" w:rsidRPr="00806BB7">
        <w:rPr>
          <w:rFonts w:cs="Times New Roman"/>
          <w:szCs w:val="24"/>
          <w:lang w:val="en-US"/>
        </w:rPr>
        <w:t>describing</w:t>
      </w:r>
      <w:r w:rsidRPr="00806BB7">
        <w:rPr>
          <w:rFonts w:cs="Times New Roman"/>
          <w:szCs w:val="24"/>
          <w:lang w:val="en-US"/>
        </w:rPr>
        <w:t xml:space="preserve"> the cognitive</w:t>
      </w:r>
      <w:r w:rsidR="00E92E6A">
        <w:rPr>
          <w:rFonts w:cs="Times New Roman"/>
          <w:szCs w:val="24"/>
          <w:lang w:val="en-US"/>
        </w:rPr>
        <w:t>/perceptual</w:t>
      </w:r>
      <w:r w:rsidRPr="00806BB7">
        <w:rPr>
          <w:rFonts w:cs="Times New Roman"/>
          <w:szCs w:val="24"/>
          <w:lang w:val="en-US"/>
        </w:rPr>
        <w:t xml:space="preserve"> disruptions in dyslexia </w:t>
      </w:r>
      <w:r w:rsidR="00B044EE" w:rsidRPr="00806BB7">
        <w:rPr>
          <w:rFonts w:cs="Times New Roman"/>
          <w:szCs w:val="24"/>
          <w:lang w:val="en-US"/>
        </w:rPr>
        <w:fldChar w:fldCharType="begin"/>
      </w:r>
      <w:r w:rsidR="00903EDA">
        <w:rPr>
          <w:rFonts w:cs="Times New Roman"/>
          <w:szCs w:val="24"/>
          <w:lang w:val="en-US"/>
        </w:rPr>
        <w:instrText xml:space="preserve"> ADDIN ZOTERO_ITEM CSL_CITATION {"citationID":"jBiDDBSe","properties":{"formattedCitation":"(Merav Ahissar, 2007; Merav Ahissar et al., 2006; Banai &amp; Ahissar, 2006)","plainCitation":"(Merav Ahissar, 2007; Merav Ahissar et al., 2006; Banai &amp; Ahissar, 2006)","dontUpdate":true,"noteIndex":0},"citationItems":[{"id":1,"uris":["http://zotero.org/users/6317667/items/EUWN5LG2"],"uri":["http://zotero.org/users/6317667/items/EUWN5LG2"],"itemData":{"id":1,"type":"article-journal","abstract":"The ‘core deficit’ of dyslexia has been characterized by different researchers in terms of either phonological impairments or of difficulties in processing basic visual and auditory stimuli. Recent findings suggest that a single type of impairment in the dynamics of perception, which affects the efficiency of short-term memory, might underlie the broad range of difficulties of dyslexics. Experimental findings show that the general population quickly and automatically tunes around incoming stimuli, ‘anchors to them’ and performs faster and more accurately when these stimuli are subsequently repeated. Dyslexic individuals fail to benefit from stimulus-specific repetitions. This deficit can account for phonological, working memory, visual and auditory difficulties, in addition to the greater sensitivity of dyslexics to external noise.","container-title":"Trends in Cognitive Sciences","DOI":"10.1016/j.tics.2007.08.015","ISSN":"1364-6613","issue":"11","page":"458-465","title":"Dyslexia and the anchoring-deficit hypothesis","volume":"11","author":[{"family":"Ahissar","given":"Merav"}],"issued":{"date-parts":[["2007"]]}}},{"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97,"uris":["http://zotero.org/users/6317667/items/JH93KHB9"],"uri":["http://zotero.org/users/6317667/items/JH93KHB9"],"itemData":{"id":97,"type":"article-journal","abstract":"The nature of the fundamental deficit underlying reading disability is the subject of a long-standing debate. We previously found that dyslexics with additional learning difficulties (D-LDs) perform poorly in simple auditory tasks. We now tried to determine whether these deficits relate to stimulus or task complexity. We found that the degree of impairment was dependent on task rather than stimulus complexity. D-LDs could adequately detect and identify mild frequency changes in simple pure tones and minimal phonemic changes in complex speech sounds when task required only simple same–different discriminations. However, when task required the identification of the direction of frequency change or the ordinal position of a repeated tonal or speech stimulus, D-LDs' performance substantially deteriorated. This behavioral pattern suggests that D-LDs suffer from a similar type of deficits when processing speech and nonspeech sounds. In both cases, the extent of difficulties is determined by the structure of the task rather than by stimulus composition or complexity.","container-title":"Cerebral Cortex","DOI":"10.1093/cercor/bhj107","ISSN":"1047-3211","issue":"12","page":"1718-1728","title":"Auditory Processing Deficits in Dyslexia: Task or Stimulus Related?","volume":"16","author":[{"family":"Banai","given":"Karen"},{"family":"Ahissar","given":"Merav"}],"issued":{"date-parts":[["2006"]]}}}],"schema":"https://github.com/citation-style-language/schema/raw/master/csl-citation.json"} </w:instrText>
      </w:r>
      <w:r w:rsidR="00B044EE" w:rsidRPr="00806BB7">
        <w:rPr>
          <w:rFonts w:cs="Times New Roman"/>
          <w:szCs w:val="24"/>
          <w:lang w:val="en-US"/>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2007; </w:t>
      </w:r>
      <w:r w:rsidR="00891A41" w:rsidRPr="00806BB7">
        <w:rPr>
          <w:rFonts w:cs="Times New Roman"/>
          <w:szCs w:val="24"/>
        </w:rPr>
        <w:t>Ahissar</w:t>
      </w:r>
      <w:r w:rsidR="00AF062E" w:rsidRPr="00806BB7">
        <w:rPr>
          <w:rFonts w:cs="Times New Roman"/>
          <w:szCs w:val="24"/>
        </w:rPr>
        <w:t xml:space="preserve"> et al., 2006; Banai &amp; Ahissar, 2006)</w:t>
      </w:r>
      <w:r w:rsidR="00B044EE" w:rsidRPr="00806BB7">
        <w:rPr>
          <w:rFonts w:cs="Times New Roman"/>
          <w:szCs w:val="24"/>
          <w:lang w:val="en-US"/>
        </w:rPr>
        <w:fldChar w:fldCharType="end"/>
      </w:r>
      <w:r w:rsidR="00B47E6E" w:rsidRPr="00806BB7">
        <w:rPr>
          <w:szCs w:val="24"/>
        </w:rPr>
        <w:t xml:space="preserve">. </w:t>
      </w:r>
      <w:r w:rsidR="006A4958" w:rsidRPr="00806BB7">
        <w:rPr>
          <w:rFonts w:cs="Times New Roman"/>
          <w:szCs w:val="24"/>
          <w:lang w:val="en-US"/>
        </w:rPr>
        <w:t>The anchoring deficit hypothesis</w:t>
      </w:r>
      <w:r w:rsidR="00B47E6E" w:rsidRPr="00806BB7">
        <w:rPr>
          <w:szCs w:val="24"/>
        </w:rPr>
        <w:t xml:space="preserve"> suggests </w:t>
      </w:r>
      <w:r w:rsidR="006A4958" w:rsidRPr="00806BB7">
        <w:rPr>
          <w:szCs w:val="24"/>
        </w:rPr>
        <w:t xml:space="preserve">that </w:t>
      </w:r>
      <w:r w:rsidR="00DA50D1" w:rsidRPr="00806BB7">
        <w:rPr>
          <w:szCs w:val="24"/>
        </w:rPr>
        <w:t>reading impairments in dyslexia</w:t>
      </w:r>
      <w:r w:rsidR="00B47E6E" w:rsidRPr="00806BB7">
        <w:rPr>
          <w:szCs w:val="24"/>
        </w:rPr>
        <w:t xml:space="preserve"> may stem from an inability to adequately store, or ‘anchor’, perceptual information for later use. </w:t>
      </w:r>
      <w:r w:rsidR="00DA50D1" w:rsidRPr="00806BB7">
        <w:rPr>
          <w:szCs w:val="24"/>
        </w:rPr>
        <w:t>As previously described</w:t>
      </w:r>
      <w:r w:rsidR="007869D8" w:rsidRPr="00806BB7">
        <w:rPr>
          <w:szCs w:val="24"/>
        </w:rPr>
        <w:t>, a</w:t>
      </w:r>
      <w:r w:rsidR="004B39C8" w:rsidRPr="00806BB7">
        <w:rPr>
          <w:szCs w:val="24"/>
        </w:rPr>
        <w:t>nchoring</w:t>
      </w:r>
      <w:r w:rsidR="00B47E6E" w:rsidRPr="00806BB7">
        <w:rPr>
          <w:szCs w:val="24"/>
        </w:rPr>
        <w:t xml:space="preserve"> occurs via regulated sequences of repeated inputs</w:t>
      </w:r>
      <w:r w:rsidR="007869D8" w:rsidRPr="00806BB7">
        <w:rPr>
          <w:szCs w:val="24"/>
        </w:rPr>
        <w:t>.</w:t>
      </w:r>
      <w:r w:rsidR="00B47E6E" w:rsidRPr="00806BB7">
        <w:rPr>
          <w:szCs w:val="24"/>
        </w:rPr>
        <w:t xml:space="preserve"> </w:t>
      </w:r>
      <w:r w:rsidR="00922FA7" w:rsidRPr="00806BB7">
        <w:rPr>
          <w:szCs w:val="24"/>
        </w:rPr>
        <w:t xml:space="preserve">This anchoring effect was initially </w:t>
      </w:r>
      <w:r w:rsidR="00F20134" w:rsidRPr="00806BB7">
        <w:rPr>
          <w:szCs w:val="24"/>
        </w:rPr>
        <w:t>demonstrated</w:t>
      </w:r>
      <w:r w:rsidR="00922FA7" w:rsidRPr="00806BB7">
        <w:rPr>
          <w:szCs w:val="24"/>
        </w:rPr>
        <w:t xml:space="preserve"> via a two-tone frequen</w:t>
      </w:r>
      <w:r w:rsidR="00F20134" w:rsidRPr="00806BB7">
        <w:rPr>
          <w:szCs w:val="24"/>
        </w:rPr>
        <w:t>cy</w:t>
      </w:r>
      <w:r w:rsidR="00D105F0" w:rsidRPr="00806BB7">
        <w:rPr>
          <w:szCs w:val="24"/>
        </w:rPr>
        <w:t>-</w:t>
      </w:r>
      <w:r w:rsidR="00F20134" w:rsidRPr="00806BB7">
        <w:rPr>
          <w:szCs w:val="24"/>
        </w:rPr>
        <w:t xml:space="preserve">discrimination task </w:t>
      </w:r>
      <w:r w:rsidR="00373435" w:rsidRPr="00806BB7">
        <w:rPr>
          <w:szCs w:val="24"/>
        </w:rPr>
        <w:t>whereby</w:t>
      </w:r>
      <w:r w:rsidR="00F20134" w:rsidRPr="00806BB7">
        <w:rPr>
          <w:szCs w:val="24"/>
        </w:rPr>
        <w:t xml:space="preserve"> the inclusion of a </w:t>
      </w:r>
      <w:r w:rsidR="00DB7FBC" w:rsidRPr="00806BB7">
        <w:rPr>
          <w:szCs w:val="24"/>
        </w:rPr>
        <w:t xml:space="preserve">reference condition, </w:t>
      </w:r>
      <w:r w:rsidR="00373435" w:rsidRPr="00806BB7">
        <w:rPr>
          <w:szCs w:val="24"/>
        </w:rPr>
        <w:t xml:space="preserve">in which </w:t>
      </w:r>
      <w:r w:rsidR="00DB7FBC" w:rsidRPr="00806BB7">
        <w:rPr>
          <w:szCs w:val="24"/>
        </w:rPr>
        <w:t xml:space="preserve">the first tone was </w:t>
      </w:r>
      <w:r w:rsidR="00373435" w:rsidRPr="00806BB7">
        <w:rPr>
          <w:szCs w:val="24"/>
        </w:rPr>
        <w:t>identical across</w:t>
      </w:r>
      <w:r w:rsidR="00A234E8" w:rsidRPr="00806BB7">
        <w:rPr>
          <w:szCs w:val="24"/>
        </w:rPr>
        <w:t xml:space="preserve"> trials, benefitted </w:t>
      </w:r>
      <w:r w:rsidR="00373435" w:rsidRPr="00806BB7">
        <w:rPr>
          <w:szCs w:val="24"/>
        </w:rPr>
        <w:t>typical but not dyslexic readers</w:t>
      </w:r>
      <w:r w:rsidR="00F20134" w:rsidRPr="00806BB7">
        <w:rPr>
          <w:szCs w:val="24"/>
        </w:rPr>
        <w:t xml:space="preserve"> </w:t>
      </w:r>
      <w:r w:rsidR="00F20134" w:rsidRPr="00806BB7">
        <w:rPr>
          <w:szCs w:val="24"/>
        </w:rPr>
        <w:fldChar w:fldCharType="begin"/>
      </w:r>
      <w:r w:rsidR="00903EDA">
        <w:rPr>
          <w:szCs w:val="24"/>
        </w:rPr>
        <w:instrText xml:space="preserve"> ADDIN ZOTERO_ITEM CSL_CITATION {"citationID":"5EHIisS7","properties":{"formattedCitation":"(Merav Ahissar et al., 2006)","plainCitation":"(Merav Ahissar et al., 2006)","dontUpdate":true,"noteIndex":0},"citationItems":[{"id":279,"uris":["http://zotero.org/users/6317667/items/PR33PC9V"],"uri":["http://zotero.org/users/6317667/items/PR33PC9V"],"itemData":{"id":279,"type":"article-journal","abstract":"In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chema":"https://github.com/citation-style-language/schema/raw/master/csl-citation.json"} </w:instrText>
      </w:r>
      <w:r w:rsidR="00F20134" w:rsidRPr="00806BB7">
        <w:rPr>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et al., 2006)</w:t>
      </w:r>
      <w:r w:rsidR="00F20134" w:rsidRPr="00806BB7">
        <w:rPr>
          <w:szCs w:val="24"/>
        </w:rPr>
        <w:fldChar w:fldCharType="end"/>
      </w:r>
      <w:r w:rsidR="00F20134" w:rsidRPr="00806BB7">
        <w:rPr>
          <w:szCs w:val="24"/>
        </w:rPr>
        <w:t xml:space="preserve">. This </w:t>
      </w:r>
      <w:r w:rsidR="00190008" w:rsidRPr="00806BB7">
        <w:rPr>
          <w:szCs w:val="24"/>
        </w:rPr>
        <w:t xml:space="preserve">impairment </w:t>
      </w:r>
      <w:r w:rsidR="00F20134" w:rsidRPr="00806BB7">
        <w:rPr>
          <w:szCs w:val="24"/>
        </w:rPr>
        <w:t>was characterised as a</w:t>
      </w:r>
      <w:r w:rsidR="00190008" w:rsidRPr="00806BB7">
        <w:rPr>
          <w:szCs w:val="24"/>
        </w:rPr>
        <w:t>n</w:t>
      </w:r>
      <w:r w:rsidR="00F20134" w:rsidRPr="00806BB7">
        <w:rPr>
          <w:szCs w:val="24"/>
        </w:rPr>
        <w:t xml:space="preserve"> </w:t>
      </w:r>
      <w:r w:rsidR="00190008" w:rsidRPr="00806BB7">
        <w:rPr>
          <w:szCs w:val="24"/>
        </w:rPr>
        <w:t>increased</w:t>
      </w:r>
      <w:r w:rsidR="00F20134" w:rsidRPr="00806BB7">
        <w:rPr>
          <w:szCs w:val="24"/>
        </w:rPr>
        <w:t xml:space="preserve"> threshold, as measured by the just noticeable difference, between tones averaged across all trials.</w:t>
      </w:r>
      <w:r w:rsidR="00922FA7" w:rsidRPr="00806BB7">
        <w:rPr>
          <w:szCs w:val="24"/>
        </w:rPr>
        <w:t xml:space="preserve"> </w:t>
      </w:r>
      <w:r w:rsidR="00DB7FBC" w:rsidRPr="00806BB7">
        <w:rPr>
          <w:szCs w:val="24"/>
        </w:rPr>
        <w:t>Importantly, the performance of the dyslexic group</w:t>
      </w:r>
      <w:r w:rsidR="00A234E8" w:rsidRPr="00806BB7">
        <w:rPr>
          <w:szCs w:val="24"/>
        </w:rPr>
        <w:t xml:space="preserve"> within this reference condition was strongly correlated with their phonological memory</w:t>
      </w:r>
      <w:r w:rsidR="00C8625A">
        <w:rPr>
          <w:szCs w:val="24"/>
        </w:rPr>
        <w:t>,</w:t>
      </w:r>
      <w:r w:rsidR="00A234E8" w:rsidRPr="00806BB7">
        <w:rPr>
          <w:szCs w:val="24"/>
        </w:rPr>
        <w:t xml:space="preserve"> suggesting a common bottleneck between the two processes.</w:t>
      </w:r>
      <w:r w:rsidR="00DB7FBC" w:rsidRPr="00806BB7">
        <w:rPr>
          <w:szCs w:val="24"/>
        </w:rPr>
        <w:t xml:space="preserve"> </w:t>
      </w:r>
      <w:r w:rsidR="006A4958" w:rsidRPr="00806BB7">
        <w:rPr>
          <w:szCs w:val="24"/>
        </w:rPr>
        <w:t>As an extension to reading</w:t>
      </w:r>
      <w:r w:rsidR="00D105F0" w:rsidRPr="00806BB7">
        <w:rPr>
          <w:szCs w:val="24"/>
        </w:rPr>
        <w:t>,</w:t>
      </w:r>
      <w:r w:rsidR="006A4958" w:rsidRPr="00806BB7">
        <w:rPr>
          <w:szCs w:val="24"/>
        </w:rPr>
        <w:t xml:space="preserve"> </w:t>
      </w:r>
      <w:r w:rsidR="006A4958" w:rsidRPr="00806BB7">
        <w:rPr>
          <w:szCs w:val="24"/>
        </w:rPr>
        <w:lastRenderedPageBreak/>
        <w:t>these authors proposed that</w:t>
      </w:r>
      <w:r w:rsidR="00B47E6E" w:rsidRPr="00806BB7">
        <w:rPr>
          <w:szCs w:val="24"/>
        </w:rPr>
        <w:t xml:space="preserve"> </w:t>
      </w:r>
      <w:r w:rsidR="007869D8" w:rsidRPr="00806BB7">
        <w:rPr>
          <w:szCs w:val="24"/>
        </w:rPr>
        <w:t xml:space="preserve">repeated exposure to </w:t>
      </w:r>
      <w:r w:rsidR="00190008" w:rsidRPr="00806BB7">
        <w:rPr>
          <w:szCs w:val="24"/>
        </w:rPr>
        <w:t>phoneme-graph</w:t>
      </w:r>
      <w:r w:rsidR="00E92E6A">
        <w:rPr>
          <w:szCs w:val="24"/>
        </w:rPr>
        <w:t>eme</w:t>
      </w:r>
      <w:r w:rsidR="00190008" w:rsidRPr="00806BB7">
        <w:rPr>
          <w:szCs w:val="24"/>
        </w:rPr>
        <w:t xml:space="preserve"> pairings</w:t>
      </w:r>
      <w:r w:rsidR="00BD55F0" w:rsidRPr="00806BB7">
        <w:rPr>
          <w:szCs w:val="24"/>
        </w:rPr>
        <w:t xml:space="preserve"> may</w:t>
      </w:r>
      <w:r w:rsidR="00B47E6E" w:rsidRPr="00806BB7">
        <w:rPr>
          <w:szCs w:val="24"/>
        </w:rPr>
        <w:t xml:space="preserve"> </w:t>
      </w:r>
      <w:r w:rsidR="007869D8" w:rsidRPr="00806BB7">
        <w:rPr>
          <w:szCs w:val="24"/>
        </w:rPr>
        <w:t>allow a learning reader</w:t>
      </w:r>
      <w:r w:rsidR="00B47E6E" w:rsidRPr="00806BB7">
        <w:rPr>
          <w:szCs w:val="24"/>
        </w:rPr>
        <w:t xml:space="preserve"> </w:t>
      </w:r>
      <w:r w:rsidR="007869D8" w:rsidRPr="00806BB7">
        <w:rPr>
          <w:szCs w:val="24"/>
        </w:rPr>
        <w:t>to</w:t>
      </w:r>
      <w:r w:rsidR="00B47E6E" w:rsidRPr="00806BB7">
        <w:rPr>
          <w:szCs w:val="24"/>
        </w:rPr>
        <w:t xml:space="preserve"> develop and adjust their responses</w:t>
      </w:r>
      <w:r w:rsidR="00B47E6E" w:rsidRPr="00806BB7">
        <w:rPr>
          <w:rFonts w:cs="Times New Roman"/>
          <w:szCs w:val="24"/>
          <w:lang w:val="en-US"/>
        </w:rPr>
        <w:t xml:space="preserve"> to these inputs accordingly</w:t>
      </w:r>
      <w:r w:rsidRPr="00806BB7">
        <w:rPr>
          <w:rFonts w:cs="Times New Roman"/>
          <w:szCs w:val="24"/>
          <w:lang w:val="en-US"/>
        </w:rPr>
        <w:t xml:space="preserve"> </w:t>
      </w:r>
      <w:r w:rsidRPr="00806BB7">
        <w:rPr>
          <w:rFonts w:cs="Times New Roman"/>
          <w:szCs w:val="24"/>
          <w:lang w:val="en-US"/>
        </w:rPr>
        <w:fldChar w:fldCharType="begin"/>
      </w:r>
      <w:r w:rsidR="00903EDA">
        <w:rPr>
          <w:rFonts w:cs="Times New Roman"/>
          <w:szCs w:val="24"/>
          <w:lang w:val="en-US"/>
        </w:rPr>
        <w:instrText xml:space="preserve"> ADDIN ZOTERO_ITEM CSL_CITATION {"citationID":"ubefF5nB","properties":{"formattedCitation":"(Merav Ahissar, 2007)","plainCitation":"(Merav Ahissar, 2007)","dontUpdate":true,"noteIndex":0},"citationItems":[{"id":1,"uris":["http://zotero.org/users/6317667/items/EUWN5LG2"],"uri":["http://zotero.org/users/6317667/items/EUWN5LG2"],"itemData":{"id":1,"type":"article-journal","abstract":"The ‘core deficit’ of dyslexia has been characterized by different researchers in terms of either phonological impairments or of difficulties in processing basic visual and auditory stimuli. Recent findings suggest that a single type of impairment in the dynamics of perception, which affects the efficiency of short-term memory, might underlie the broad range of difficulties of dyslexics. Experimental findings show that the general population quickly and automatically tunes around incoming stimuli, ‘anchors to them’ and performs faster and more accurately when these stimuli are subsequently repeated. Dyslexic individuals fail to benefit from stimulus-specific repetitions. This deficit can account for phonological, working memory, visual and auditory difficulties, in addition to the greater sensitivity of dyslexics to external noise.","container-title":"Trends in Cognitive Sciences","DOI":"10.1016/j.tics.2007.08.015","ISSN":"1364-6613","issue":"11","page":"458-465","title":"Dyslexia and the anchoring-deficit hypothesis","volume":"11","author":[{"family":"Ahissar","given":"Merav"}],"issued":{"date-parts":[["2007"]]}}}],"schema":"https://github.com/citation-style-language/schema/raw/master/csl-citation.json"} </w:instrText>
      </w:r>
      <w:r w:rsidRPr="00806BB7">
        <w:rPr>
          <w:rFonts w:cs="Times New Roman"/>
          <w:szCs w:val="24"/>
          <w:lang w:val="en-US"/>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2007)</w:t>
      </w:r>
      <w:r w:rsidRPr="00806BB7">
        <w:rPr>
          <w:rFonts w:cs="Times New Roman"/>
          <w:szCs w:val="24"/>
          <w:lang w:val="en-US"/>
        </w:rPr>
        <w:fldChar w:fldCharType="end"/>
      </w:r>
      <w:r w:rsidR="00B47E6E" w:rsidRPr="00806BB7">
        <w:rPr>
          <w:rFonts w:cs="Times New Roman"/>
          <w:szCs w:val="24"/>
          <w:lang w:val="en-US"/>
        </w:rPr>
        <w:t xml:space="preserve">. The benefit of repeated exposure to these stimuli is solidified </w:t>
      </w:r>
      <w:r w:rsidR="004B39C8" w:rsidRPr="00806BB7">
        <w:rPr>
          <w:rFonts w:cs="Times New Roman"/>
          <w:szCs w:val="24"/>
          <w:lang w:val="en-US"/>
        </w:rPr>
        <w:t>across development</w:t>
      </w:r>
      <w:r w:rsidR="00B47E6E" w:rsidRPr="00806BB7">
        <w:rPr>
          <w:rFonts w:cs="Times New Roman"/>
          <w:szCs w:val="24"/>
          <w:lang w:val="en-US"/>
        </w:rPr>
        <w:t xml:space="preserve"> and </w:t>
      </w:r>
      <w:r w:rsidR="00DB09D9" w:rsidRPr="00806BB7">
        <w:rPr>
          <w:rFonts w:cs="Times New Roman"/>
          <w:szCs w:val="24"/>
          <w:lang w:val="en-US"/>
        </w:rPr>
        <w:t xml:space="preserve">helps </w:t>
      </w:r>
      <w:r w:rsidR="00E30386" w:rsidRPr="00806BB7">
        <w:rPr>
          <w:rFonts w:cs="Times New Roman"/>
          <w:szCs w:val="24"/>
          <w:lang w:val="en-US"/>
        </w:rPr>
        <w:t>demarcate</w:t>
      </w:r>
      <w:r w:rsidR="004B39C8" w:rsidRPr="00806BB7">
        <w:rPr>
          <w:rFonts w:cs="Times New Roman"/>
          <w:szCs w:val="24"/>
          <w:lang w:val="en-US"/>
        </w:rPr>
        <w:t xml:space="preserve"> </w:t>
      </w:r>
      <w:r w:rsidR="00B47E6E" w:rsidRPr="00806BB7">
        <w:rPr>
          <w:rFonts w:cs="Times New Roman"/>
          <w:szCs w:val="24"/>
          <w:lang w:val="en-US"/>
        </w:rPr>
        <w:t>between novice and expert</w:t>
      </w:r>
      <w:r w:rsidR="004B39C8" w:rsidRPr="00806BB7">
        <w:rPr>
          <w:rFonts w:cs="Times New Roman"/>
          <w:szCs w:val="24"/>
          <w:lang w:val="en-US"/>
        </w:rPr>
        <w:t xml:space="preserve"> level</w:t>
      </w:r>
      <w:r w:rsidR="00B47E6E" w:rsidRPr="00806BB7">
        <w:rPr>
          <w:rFonts w:cs="Times New Roman"/>
          <w:szCs w:val="24"/>
          <w:lang w:val="en-US"/>
        </w:rPr>
        <w:t xml:space="preserve"> read</w:t>
      </w:r>
      <w:r w:rsidR="004B39C8" w:rsidRPr="00806BB7">
        <w:rPr>
          <w:rFonts w:cs="Times New Roman"/>
          <w:szCs w:val="24"/>
          <w:lang w:val="en-US"/>
        </w:rPr>
        <w:t>ing</w:t>
      </w:r>
      <w:r w:rsidR="00B47E6E" w:rsidRPr="00806BB7">
        <w:rPr>
          <w:rFonts w:cs="Times New Roman"/>
          <w:szCs w:val="24"/>
          <w:lang w:val="en-US"/>
        </w:rPr>
        <w:t>.</w:t>
      </w:r>
      <w:r w:rsidR="00A144CD">
        <w:rPr>
          <w:rFonts w:cs="Times New Roman"/>
          <w:szCs w:val="24"/>
          <w:lang w:val="en-US"/>
        </w:rPr>
        <w:t xml:space="preserve"> </w:t>
      </w:r>
    </w:p>
    <w:p w14:paraId="108CF53C" w14:textId="7A32D785" w:rsidR="00B47E6E" w:rsidRPr="00806BB7" w:rsidRDefault="00B47E6E" w:rsidP="00B47E6E">
      <w:pPr>
        <w:pStyle w:val="Heading2"/>
        <w:rPr>
          <w:szCs w:val="24"/>
          <w:lang w:val="en-US"/>
        </w:rPr>
      </w:pPr>
      <w:bookmarkStart w:id="4" w:name="_Toc39065430"/>
      <w:r w:rsidRPr="00806BB7">
        <w:rPr>
          <w:szCs w:val="24"/>
          <w:lang w:val="en-US"/>
        </w:rPr>
        <w:t>Current Study</w:t>
      </w:r>
      <w:bookmarkEnd w:id="4"/>
    </w:p>
    <w:p w14:paraId="0AA8AB9C" w14:textId="69546DBE" w:rsidR="00B47E6E" w:rsidRPr="00806BB7" w:rsidRDefault="00B47E6E" w:rsidP="00B47E6E">
      <w:pPr>
        <w:contextualSpacing/>
        <w:rPr>
          <w:rFonts w:cs="Times New Roman"/>
          <w:szCs w:val="24"/>
        </w:rPr>
      </w:pPr>
      <w:r w:rsidRPr="00806BB7">
        <w:rPr>
          <w:rFonts w:cs="Times New Roman"/>
          <w:szCs w:val="24"/>
        </w:rPr>
        <w:t>To date,</w:t>
      </w:r>
      <w:r w:rsidR="006D59C3" w:rsidRPr="00806BB7">
        <w:rPr>
          <w:rFonts w:cs="Times New Roman"/>
          <w:szCs w:val="24"/>
        </w:rPr>
        <w:t xml:space="preserve"> and to our knowledge,</w:t>
      </w:r>
      <w:r w:rsidRPr="00806BB7">
        <w:rPr>
          <w:rFonts w:cs="Times New Roman"/>
          <w:szCs w:val="24"/>
        </w:rPr>
        <w:t xml:space="preserve"> there have been no literature reviews investigating</w:t>
      </w:r>
      <w:r w:rsidR="00A144CD">
        <w:rPr>
          <w:rFonts w:cs="Times New Roman"/>
          <w:szCs w:val="24"/>
        </w:rPr>
        <w:t xml:space="preserve"> </w:t>
      </w:r>
      <w:r w:rsidR="006D59C3" w:rsidRPr="00806BB7">
        <w:rPr>
          <w:rFonts w:cs="Times New Roman"/>
          <w:szCs w:val="24"/>
        </w:rPr>
        <w:t>perceptual anchoring in dyslexia</w:t>
      </w:r>
      <w:r w:rsidRPr="00806BB7">
        <w:rPr>
          <w:rFonts w:cs="Times New Roman"/>
          <w:szCs w:val="24"/>
        </w:rPr>
        <w:t>. The aim of this review is to use the existing literature to characterise the</w:t>
      </w:r>
      <w:r w:rsidR="006D59C3" w:rsidRPr="00806BB7">
        <w:rPr>
          <w:rFonts w:cs="Times New Roman"/>
          <w:szCs w:val="24"/>
        </w:rPr>
        <w:t xml:space="preserve"> effect</w:t>
      </w:r>
      <w:r w:rsidRPr="00806BB7">
        <w:rPr>
          <w:rFonts w:cs="Times New Roman"/>
          <w:szCs w:val="24"/>
        </w:rPr>
        <w:t xml:space="preserve"> between perceptual anchoring and </w:t>
      </w:r>
      <w:r w:rsidR="00C8625A">
        <w:rPr>
          <w:rFonts w:cs="Times New Roman"/>
          <w:szCs w:val="24"/>
        </w:rPr>
        <w:t>dyslexia,</w:t>
      </w:r>
      <w:r w:rsidRPr="00806BB7">
        <w:rPr>
          <w:rFonts w:cs="Times New Roman"/>
          <w:szCs w:val="24"/>
        </w:rPr>
        <w:t xml:space="preserve"> and perform a meta-analysis.</w:t>
      </w:r>
      <w:r w:rsidR="002504E5" w:rsidRPr="00806BB7">
        <w:rPr>
          <w:rFonts w:cs="Times New Roman"/>
          <w:szCs w:val="24"/>
        </w:rPr>
        <w:t xml:space="preserve"> Measuring the veracity of these claims via narrative synthesis and meta-analysis will </w:t>
      </w:r>
      <w:r w:rsidR="001D71ED" w:rsidRPr="00806BB7">
        <w:rPr>
          <w:rFonts w:cs="Times New Roman"/>
          <w:szCs w:val="24"/>
        </w:rPr>
        <w:t>support</w:t>
      </w:r>
      <w:r w:rsidR="002504E5" w:rsidRPr="00806BB7">
        <w:rPr>
          <w:rFonts w:cs="Times New Roman"/>
          <w:szCs w:val="24"/>
        </w:rPr>
        <w:t xml:space="preserve"> continu</w:t>
      </w:r>
      <w:r w:rsidR="006D59C3" w:rsidRPr="00806BB7">
        <w:rPr>
          <w:rFonts w:cs="Times New Roman"/>
          <w:szCs w:val="24"/>
        </w:rPr>
        <w:t xml:space="preserve">ing theoretical work investigating the causes of </w:t>
      </w:r>
      <w:r w:rsidR="00C8625A">
        <w:rPr>
          <w:rFonts w:cs="Times New Roman"/>
          <w:szCs w:val="24"/>
        </w:rPr>
        <w:t>dyslexia</w:t>
      </w:r>
      <w:r w:rsidR="006D59C3" w:rsidRPr="00806BB7">
        <w:rPr>
          <w:rFonts w:cs="Times New Roman"/>
          <w:szCs w:val="24"/>
        </w:rPr>
        <w:t xml:space="preserve">, </w:t>
      </w:r>
      <w:r w:rsidR="002504E5" w:rsidRPr="00806BB7">
        <w:rPr>
          <w:rFonts w:cs="Times New Roman"/>
          <w:szCs w:val="24"/>
        </w:rPr>
        <w:t xml:space="preserve">and potentially offer unique </w:t>
      </w:r>
      <w:r w:rsidR="006D59C3" w:rsidRPr="00806BB7">
        <w:rPr>
          <w:rFonts w:cs="Times New Roman"/>
          <w:szCs w:val="24"/>
        </w:rPr>
        <w:t>insight into the</w:t>
      </w:r>
      <w:r w:rsidR="002504E5" w:rsidRPr="00806BB7">
        <w:rPr>
          <w:rFonts w:cs="Times New Roman"/>
          <w:szCs w:val="24"/>
        </w:rPr>
        <w:t xml:space="preserve"> development of early detection tools.</w:t>
      </w:r>
    </w:p>
    <w:p w14:paraId="03CC249E" w14:textId="72FB8646" w:rsidR="00BD26F3" w:rsidRPr="00EA38F9" w:rsidRDefault="003E5ECB" w:rsidP="00EA38F9">
      <w:pPr>
        <w:pStyle w:val="Heading1"/>
      </w:pPr>
      <w:bookmarkStart w:id="5" w:name="_Toc39065431"/>
      <w:r w:rsidRPr="00374FB9">
        <w:t>Method</w:t>
      </w:r>
      <w:bookmarkEnd w:id="5"/>
    </w:p>
    <w:p w14:paraId="2458E9F2" w14:textId="59FEB226" w:rsidR="003E5ECB" w:rsidRPr="00806BB7" w:rsidRDefault="003E5ECB" w:rsidP="003E5ECB">
      <w:pPr>
        <w:contextualSpacing/>
        <w:rPr>
          <w:rFonts w:cs="Times New Roman"/>
          <w:szCs w:val="24"/>
        </w:rPr>
      </w:pPr>
      <w:r w:rsidRPr="00806BB7">
        <w:rPr>
          <w:rFonts w:cs="Times New Roman"/>
          <w:szCs w:val="24"/>
        </w:rPr>
        <w:t xml:space="preserve">This review was designed and reported in line with Preferred Reporting Items for Systematic Reviews and Meta-Analyses </w:t>
      </w:r>
      <w:r w:rsidR="00B044EE" w:rsidRPr="00806BB7">
        <w:rPr>
          <w:rFonts w:cs="Times New Roman"/>
          <w:szCs w:val="24"/>
        </w:rPr>
        <w:fldChar w:fldCharType="begin"/>
      </w:r>
      <w:r w:rsidR="00095E48" w:rsidRPr="00806BB7">
        <w:rPr>
          <w:rFonts w:cs="Times New Roman"/>
          <w:szCs w:val="24"/>
        </w:rPr>
        <w:instrText xml:space="preserve"> ADDIN ZOTERO_ITEM CSL_CITATION {"citationID":"aGyCGAr2","properties":{"formattedCitation":"(PRISMA-P Group et al., 2015)","plainCitation":"(PRISMA-P Group et al., 2015)","noteIndex":0},"citationItems":[{"id":307,"uris":["http://zotero.org/users/6317667/items/EK8DI6K6"],"uri":["http://zotero.org/users/6317667/items/EK8DI6K6"],"itemData":{"id":307,"type":"article-journal","abstract":"Systematic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medium.","container-title":"Systematic Reviews","DOI":"10.1186/2046-4053-4-1","ISSN":"2046-4053","issue":"1","journalAbbreviation":"Syst Rev","language":"en","page":"1","source":"DOI.org (Crossref)","title":"Preferred reporting items for systematic review and meta-analysis protocols (PRISMA-P) 2015 statement","volume":"4","author":[{"literal":"PRISMA-P Group"},{"family":"Moher","given":"David"},{"family":"Shamseer","given":"Larissa"},{"family":"Clarke","given":"Mike"},{"family":"Ghersi","given":"Davina"},{"family":"Liberati","given":"Alessandro"},{"family":"Petticrew","given":"Mark"},{"family":"Shekelle","given":"Paul"},{"family":"Stewart","given":"Lesley A"}],"issued":{"date-parts":[["2015",12]]}}}],"schema":"https://github.com/citation-style-language/schema/raw/master/csl-citation.json"} </w:instrText>
      </w:r>
      <w:r w:rsidR="00B044EE" w:rsidRPr="00806BB7">
        <w:rPr>
          <w:rFonts w:cs="Times New Roman"/>
          <w:szCs w:val="24"/>
        </w:rPr>
        <w:fldChar w:fldCharType="separate"/>
      </w:r>
      <w:r w:rsidR="00B044EE" w:rsidRPr="00806BB7">
        <w:rPr>
          <w:rFonts w:cs="Times New Roman"/>
          <w:szCs w:val="24"/>
        </w:rPr>
        <w:t>(PRISMA-P Group et al., 2015)</w:t>
      </w:r>
      <w:r w:rsidR="00B044EE" w:rsidRPr="00806BB7">
        <w:rPr>
          <w:rFonts w:cs="Times New Roman"/>
          <w:szCs w:val="24"/>
        </w:rPr>
        <w:fldChar w:fldCharType="end"/>
      </w:r>
    </w:p>
    <w:p w14:paraId="03BED695" w14:textId="5E6C690B" w:rsidR="003E5ECB" w:rsidRPr="00806BB7" w:rsidRDefault="003E5ECB" w:rsidP="003E5ECB">
      <w:pPr>
        <w:pStyle w:val="Heading2"/>
        <w:rPr>
          <w:szCs w:val="24"/>
        </w:rPr>
      </w:pPr>
      <w:bookmarkStart w:id="6" w:name="_Toc39065432"/>
      <w:r w:rsidRPr="00806BB7">
        <w:rPr>
          <w:szCs w:val="24"/>
        </w:rPr>
        <w:t>Eligibility Criteria</w:t>
      </w:r>
      <w:bookmarkEnd w:id="6"/>
    </w:p>
    <w:p w14:paraId="0006ADD5" w14:textId="62250A5F" w:rsidR="000D264C" w:rsidRPr="00806BB7" w:rsidRDefault="00DF7AF6" w:rsidP="00B47284">
      <w:pPr>
        <w:rPr>
          <w:szCs w:val="24"/>
        </w:rPr>
      </w:pPr>
      <w:r w:rsidRPr="00806BB7">
        <w:rPr>
          <w:szCs w:val="24"/>
        </w:rPr>
        <w:t>To be marked eligible for inclusion in this review the work needed to be published in English.</w:t>
      </w:r>
    </w:p>
    <w:p w14:paraId="1F0772D9" w14:textId="74D5A95A" w:rsidR="003E5ECB" w:rsidRPr="00806BB7" w:rsidRDefault="003E5ECB" w:rsidP="003E5ECB">
      <w:pPr>
        <w:pStyle w:val="Heading3"/>
      </w:pPr>
      <w:bookmarkStart w:id="7" w:name="_Toc39065433"/>
      <w:r w:rsidRPr="00806BB7">
        <w:t>Participants</w:t>
      </w:r>
      <w:bookmarkEnd w:id="7"/>
    </w:p>
    <w:p w14:paraId="6D712C77" w14:textId="6D2FEC1B" w:rsidR="003E5ECB" w:rsidRPr="00806BB7" w:rsidRDefault="003E5ECB" w:rsidP="003E5ECB">
      <w:pPr>
        <w:contextualSpacing/>
        <w:rPr>
          <w:rFonts w:cs="Times New Roman"/>
          <w:szCs w:val="24"/>
        </w:rPr>
      </w:pPr>
      <w:r w:rsidRPr="00806BB7">
        <w:rPr>
          <w:rFonts w:cs="Times New Roman"/>
          <w:szCs w:val="24"/>
        </w:rPr>
        <w:t>This review included studies across multiple demographics. Our aim was to cast a broad net in order to assess the current standing of literature studying the relationship between perceptual anchoring</w:t>
      </w:r>
      <w:r w:rsidR="00D105F0" w:rsidRPr="00806BB7">
        <w:rPr>
          <w:rFonts w:cs="Times New Roman"/>
          <w:szCs w:val="24"/>
        </w:rPr>
        <w:t xml:space="preserve"> and dyslexia</w:t>
      </w:r>
      <w:r w:rsidRPr="00806BB7">
        <w:rPr>
          <w:rFonts w:cs="Times New Roman"/>
          <w:szCs w:val="24"/>
        </w:rPr>
        <w:t>.</w:t>
      </w:r>
    </w:p>
    <w:p w14:paraId="3301CC51" w14:textId="77777777" w:rsidR="00D105F0" w:rsidRPr="00806BB7" w:rsidRDefault="00D105F0" w:rsidP="00D105F0">
      <w:pPr>
        <w:pStyle w:val="Heading3"/>
      </w:pPr>
      <w:bookmarkStart w:id="8" w:name="_Toc39065434"/>
      <w:r w:rsidRPr="00806BB7">
        <w:t>Perceptual Anchoring Data</w:t>
      </w:r>
    </w:p>
    <w:p w14:paraId="670809C1" w14:textId="77777777" w:rsidR="00D105F0" w:rsidRPr="00806BB7" w:rsidRDefault="00D105F0" w:rsidP="00D105F0">
      <w:pPr>
        <w:contextualSpacing/>
        <w:rPr>
          <w:rFonts w:cs="Times New Roman"/>
          <w:szCs w:val="24"/>
        </w:rPr>
      </w:pPr>
      <w:r w:rsidRPr="00806BB7">
        <w:rPr>
          <w:rFonts w:cs="Times New Roman"/>
          <w:szCs w:val="24"/>
        </w:rPr>
        <w:t>We included studies in which perceptual anchoring was explicitly measured using some form of perceptual based task.</w:t>
      </w:r>
    </w:p>
    <w:p w14:paraId="273A9F0B" w14:textId="2A3A7D44" w:rsidR="003E5ECB" w:rsidRPr="00806BB7" w:rsidRDefault="003E5ECB" w:rsidP="003E5ECB">
      <w:pPr>
        <w:pStyle w:val="Heading3"/>
      </w:pPr>
      <w:r w:rsidRPr="00806BB7">
        <w:lastRenderedPageBreak/>
        <w:t>Reading Data</w:t>
      </w:r>
      <w:bookmarkEnd w:id="8"/>
    </w:p>
    <w:p w14:paraId="5481D056" w14:textId="77777777" w:rsidR="003E5ECB" w:rsidRPr="00806BB7" w:rsidRDefault="003E5ECB" w:rsidP="003E5ECB">
      <w:pPr>
        <w:contextualSpacing/>
        <w:rPr>
          <w:rFonts w:cs="Times New Roman"/>
          <w:b/>
          <w:szCs w:val="24"/>
        </w:rPr>
      </w:pPr>
      <w:r w:rsidRPr="00806BB7">
        <w:rPr>
          <w:rFonts w:cs="Times New Roman"/>
          <w:szCs w:val="24"/>
        </w:rPr>
        <w:t>We included studies in which reading ability was defined as reading accuracy, reading fluency, reading skill, or reading comprehension.</w:t>
      </w:r>
    </w:p>
    <w:p w14:paraId="2C2FF467" w14:textId="62B7ED79" w:rsidR="003A2D0D" w:rsidRPr="00806BB7" w:rsidRDefault="003A2D0D" w:rsidP="003A2D0D">
      <w:pPr>
        <w:pStyle w:val="Heading3"/>
      </w:pPr>
      <w:bookmarkStart w:id="9" w:name="_Toc39065436"/>
      <w:r w:rsidRPr="00806BB7">
        <w:t>Exclusionary Criteria</w:t>
      </w:r>
      <w:bookmarkEnd w:id="9"/>
      <w:r w:rsidRPr="00806BB7">
        <w:t xml:space="preserve"> </w:t>
      </w:r>
    </w:p>
    <w:p w14:paraId="46BFEF81" w14:textId="32FD388E" w:rsidR="003A2D0D" w:rsidRPr="00806BB7" w:rsidRDefault="003A2D0D" w:rsidP="003A2D0D">
      <w:pPr>
        <w:contextualSpacing/>
        <w:rPr>
          <w:rFonts w:cs="Times New Roman"/>
          <w:szCs w:val="24"/>
        </w:rPr>
      </w:pPr>
      <w:r w:rsidRPr="00806BB7">
        <w:rPr>
          <w:rFonts w:cs="Times New Roman"/>
          <w:szCs w:val="24"/>
        </w:rPr>
        <w:t>Any study not published in English</w:t>
      </w:r>
      <w:r w:rsidR="00DF7AF6" w:rsidRPr="00806BB7">
        <w:rPr>
          <w:rFonts w:cs="Times New Roman"/>
          <w:szCs w:val="24"/>
        </w:rPr>
        <w:t>.</w:t>
      </w:r>
    </w:p>
    <w:p w14:paraId="6D8A80C4" w14:textId="3FCE833E" w:rsidR="003A2D0D" w:rsidRPr="00806BB7" w:rsidRDefault="003A2D0D" w:rsidP="003A2D0D">
      <w:pPr>
        <w:pStyle w:val="Heading3"/>
      </w:pPr>
      <w:bookmarkStart w:id="10" w:name="_Toc39065437"/>
      <w:r w:rsidRPr="00806BB7">
        <w:t>Information Sources</w:t>
      </w:r>
      <w:bookmarkEnd w:id="10"/>
      <w:r w:rsidRPr="00806BB7">
        <w:t xml:space="preserve"> </w:t>
      </w:r>
    </w:p>
    <w:p w14:paraId="757ABE22" w14:textId="6C907F6A" w:rsidR="003A2D0D" w:rsidRPr="00806BB7" w:rsidRDefault="003A2D0D" w:rsidP="003A2D0D">
      <w:pPr>
        <w:contextualSpacing/>
        <w:rPr>
          <w:rFonts w:cs="Times New Roman"/>
          <w:b/>
          <w:szCs w:val="24"/>
        </w:rPr>
      </w:pPr>
      <w:r w:rsidRPr="00806BB7">
        <w:rPr>
          <w:rFonts w:cs="Times New Roman"/>
          <w:szCs w:val="24"/>
        </w:rPr>
        <w:t xml:space="preserve">We conducted the literature-search strategy with the above-mentioned terms with the goal of capturing the relationship between perceptual anchoring and </w:t>
      </w:r>
      <w:r w:rsidR="00DF7AF6" w:rsidRPr="00806BB7">
        <w:rPr>
          <w:rFonts w:cs="Times New Roman"/>
          <w:szCs w:val="24"/>
        </w:rPr>
        <w:t>dyslexia</w:t>
      </w:r>
      <w:r w:rsidRPr="00806BB7">
        <w:rPr>
          <w:rFonts w:cs="Times New Roman"/>
          <w:szCs w:val="24"/>
        </w:rPr>
        <w:t>. We searched PsycInfo (Ovid, 1860 to 2020), MEDLINE (Ovid, 1860 to 2019), EMBASE (Ovid, 1883 to 2019), and PubMed for all available years</w:t>
      </w:r>
      <w:r w:rsidR="00AC42B0" w:rsidRPr="00806BB7">
        <w:rPr>
          <w:rFonts w:cs="Times New Roman"/>
          <w:szCs w:val="24"/>
        </w:rPr>
        <w:t xml:space="preserve"> up to </w:t>
      </w:r>
      <w:r w:rsidR="00435AF5" w:rsidRPr="00806BB7">
        <w:rPr>
          <w:rFonts w:cs="Times New Roman"/>
          <w:szCs w:val="24"/>
        </w:rPr>
        <w:t>June, 2020</w:t>
      </w:r>
      <w:r w:rsidRPr="00806BB7">
        <w:rPr>
          <w:rFonts w:cs="Times New Roman"/>
          <w:szCs w:val="24"/>
        </w:rPr>
        <w:t>. The literature search was limited to human participants. The following is an example of the search strategy conducted in PsycINFO, “(percept* adj1 anchor*) or (percept* adj1 learn*) or (anchor* adj1 deficit) or (statistical adj1 learning AND (read* adj1 abi*) or (dyslexi* or (poor adj1 read*) or ((read* or learn*) adj1 (dis* or diff* or impair* or def* or delay))).”</w:t>
      </w:r>
    </w:p>
    <w:p w14:paraId="6BFC7E4E" w14:textId="5CFD7C2C" w:rsidR="003A2D0D" w:rsidRPr="00806BB7" w:rsidRDefault="003A2D0D" w:rsidP="003A2D0D">
      <w:pPr>
        <w:pStyle w:val="Heading3"/>
      </w:pPr>
      <w:bookmarkStart w:id="11" w:name="_Toc39065438"/>
      <w:r w:rsidRPr="00806BB7">
        <w:t>Study Selection</w:t>
      </w:r>
      <w:bookmarkEnd w:id="11"/>
    </w:p>
    <w:p w14:paraId="50867869" w14:textId="368451BC" w:rsidR="003A2D0D" w:rsidRPr="00806BB7" w:rsidRDefault="003A2D0D" w:rsidP="003A2D0D">
      <w:pPr>
        <w:contextualSpacing/>
        <w:rPr>
          <w:rFonts w:cs="Times New Roman"/>
          <w:szCs w:val="24"/>
        </w:rPr>
      </w:pPr>
      <w:r w:rsidRPr="00806BB7">
        <w:rPr>
          <w:rFonts w:cs="Times New Roman"/>
          <w:szCs w:val="24"/>
        </w:rPr>
        <w:t xml:space="preserve">The articles were screened in five </w:t>
      </w:r>
      <w:r w:rsidR="0013061A" w:rsidRPr="00806BB7">
        <w:rPr>
          <w:rFonts w:cs="Times New Roman"/>
          <w:szCs w:val="24"/>
        </w:rPr>
        <w:t>Step</w:t>
      </w:r>
      <w:r w:rsidRPr="00806BB7">
        <w:rPr>
          <w:rFonts w:cs="Times New Roman"/>
          <w:szCs w:val="24"/>
        </w:rPr>
        <w:t xml:space="preserve">s, using SYRAS </w:t>
      </w:r>
      <w:r w:rsidR="007E00D6" w:rsidRPr="00806BB7">
        <w:rPr>
          <w:rFonts w:cs="Times New Roman"/>
          <w:szCs w:val="24"/>
        </w:rPr>
        <w:fldChar w:fldCharType="begin"/>
      </w:r>
      <w:r w:rsidR="00095E48" w:rsidRPr="00806BB7">
        <w:rPr>
          <w:rFonts w:cs="Times New Roman"/>
          <w:szCs w:val="24"/>
        </w:rPr>
        <w:instrText xml:space="preserve"> ADDIN ZOTERO_ITEM CSL_CITATION {"citationID":"YvMPGT9F","properties":{"formattedCitation":"(Jones &amp; Badcock, 2017)","plainCitation":"(Jones &amp; Badcock, 2017)","noteIndex":0},"citationItems":[{"id":308,"uris":["http://zotero.org/users/6317667/items/JW8CGHZP"],"uri":["http://zotero.org/users/6317667/items/JW8CGHZP"],"itemData":{"id":308,"type":"webpage","title":"SYRAS | Systematic Review Assistant","URL":"http://syras.org/","author":[{"family":"Jones","given":"Pip"},{"family":"Badcock","given":"Nicholas A."}],"accessed":{"date-parts":[["2020",3,30]]},"issued":{"date-parts":[["2017"]]}}}],"schema":"https://github.com/citation-style-language/schema/raw/master/csl-citation.json"} </w:instrText>
      </w:r>
      <w:r w:rsidR="007E00D6" w:rsidRPr="00806BB7">
        <w:rPr>
          <w:rFonts w:cs="Times New Roman"/>
          <w:szCs w:val="24"/>
        </w:rPr>
        <w:fldChar w:fldCharType="separate"/>
      </w:r>
      <w:r w:rsidR="007E00D6" w:rsidRPr="00806BB7">
        <w:rPr>
          <w:rFonts w:cs="Times New Roman"/>
          <w:szCs w:val="24"/>
        </w:rPr>
        <w:t>(Jones &amp; Badcock, 2017)</w:t>
      </w:r>
      <w:r w:rsidR="007E00D6" w:rsidRPr="00806BB7">
        <w:rPr>
          <w:rFonts w:cs="Times New Roman"/>
          <w:szCs w:val="24"/>
        </w:rPr>
        <w:fldChar w:fldCharType="end"/>
      </w:r>
      <w:r w:rsidRPr="00806BB7">
        <w:rPr>
          <w:rFonts w:cs="Times New Roman"/>
          <w:szCs w:val="24"/>
        </w:rPr>
        <w:t>, a systematic review assistant and data management web-based application</w:t>
      </w:r>
      <w:r w:rsidR="007E00D6" w:rsidRPr="00806BB7">
        <w:rPr>
          <w:rFonts w:cs="Times New Roman"/>
          <w:szCs w:val="24"/>
        </w:rPr>
        <w:t xml:space="preserve">. In </w:t>
      </w:r>
      <w:r w:rsidR="0013061A" w:rsidRPr="00806BB7">
        <w:rPr>
          <w:rFonts w:cs="Times New Roman"/>
          <w:szCs w:val="24"/>
        </w:rPr>
        <w:t>Step</w:t>
      </w:r>
      <w:r w:rsidR="009A6DA5" w:rsidRPr="00806BB7">
        <w:rPr>
          <w:rFonts w:cs="Times New Roman"/>
          <w:szCs w:val="24"/>
        </w:rPr>
        <w:t xml:space="preserve"> </w:t>
      </w:r>
      <w:r w:rsidRPr="00806BB7">
        <w:rPr>
          <w:rFonts w:cs="Times New Roman"/>
          <w:szCs w:val="24"/>
        </w:rPr>
        <w:t>1, search terms were entered into pre-selected databases and ci</w:t>
      </w:r>
      <w:r w:rsidR="007E00D6" w:rsidRPr="00806BB7">
        <w:rPr>
          <w:rFonts w:cs="Times New Roman"/>
          <w:szCs w:val="24"/>
        </w:rPr>
        <w:t xml:space="preserve">tations were downloaded. In </w:t>
      </w:r>
      <w:r w:rsidR="0013061A" w:rsidRPr="00806BB7">
        <w:rPr>
          <w:rFonts w:cs="Times New Roman"/>
          <w:szCs w:val="24"/>
        </w:rPr>
        <w:t>Step</w:t>
      </w:r>
      <w:r w:rsidR="009A6DA5" w:rsidRPr="00806BB7">
        <w:rPr>
          <w:rFonts w:cs="Times New Roman"/>
          <w:szCs w:val="24"/>
        </w:rPr>
        <w:t xml:space="preserve"> </w:t>
      </w:r>
      <w:r w:rsidRPr="00806BB7">
        <w:rPr>
          <w:rFonts w:cs="Times New Roman"/>
          <w:szCs w:val="24"/>
        </w:rPr>
        <w:t>2, citations were uploaded to SYRAS and du</w:t>
      </w:r>
      <w:r w:rsidR="007E00D6" w:rsidRPr="00806BB7">
        <w:rPr>
          <w:rFonts w:cs="Times New Roman"/>
          <w:szCs w:val="24"/>
        </w:rPr>
        <w:t xml:space="preserve">plicates were discarded. In </w:t>
      </w:r>
      <w:r w:rsidR="0013061A" w:rsidRPr="00806BB7">
        <w:rPr>
          <w:rFonts w:cs="Times New Roman"/>
          <w:szCs w:val="24"/>
        </w:rPr>
        <w:t>Step</w:t>
      </w:r>
      <w:r w:rsidR="009A6DA5" w:rsidRPr="00806BB7">
        <w:rPr>
          <w:rFonts w:cs="Times New Roman"/>
          <w:szCs w:val="24"/>
        </w:rPr>
        <w:t xml:space="preserve"> </w:t>
      </w:r>
      <w:r w:rsidRPr="00806BB7">
        <w:rPr>
          <w:rFonts w:cs="Times New Roman"/>
          <w:szCs w:val="24"/>
        </w:rPr>
        <w:t xml:space="preserve">3, all titles and abstracts were screened by the two authors, with titles and/or abstracts including reference to association between perceptual anchoring and reading ability (see </w:t>
      </w:r>
      <w:r w:rsidRPr="00F8700E">
        <w:rPr>
          <w:rFonts w:cs="Times New Roman"/>
          <w:szCs w:val="24"/>
        </w:rPr>
        <w:t>Appendix A</w:t>
      </w:r>
      <w:r w:rsidRPr="00806BB7">
        <w:rPr>
          <w:rFonts w:cs="Times New Roman"/>
          <w:szCs w:val="24"/>
        </w:rPr>
        <w:t xml:space="preserve"> for search terms) included</w:t>
      </w:r>
      <w:r w:rsidR="007E00D6" w:rsidRPr="00806BB7">
        <w:rPr>
          <w:rFonts w:cs="Times New Roman"/>
          <w:szCs w:val="24"/>
        </w:rPr>
        <w:t xml:space="preserve"> for further evaluation. In </w:t>
      </w:r>
      <w:r w:rsidR="0013061A" w:rsidRPr="00806BB7">
        <w:rPr>
          <w:rFonts w:cs="Times New Roman"/>
          <w:szCs w:val="24"/>
        </w:rPr>
        <w:t>Step</w:t>
      </w:r>
      <w:r w:rsidR="009A6DA5" w:rsidRPr="00806BB7">
        <w:rPr>
          <w:rFonts w:cs="Times New Roman"/>
          <w:szCs w:val="24"/>
        </w:rPr>
        <w:t xml:space="preserve"> </w:t>
      </w:r>
      <w:r w:rsidRPr="00806BB7">
        <w:rPr>
          <w:rFonts w:cs="Times New Roman"/>
          <w:szCs w:val="24"/>
        </w:rPr>
        <w:t>4, both authors independently screened the remaining articles, and discussed discrepancies betw</w:t>
      </w:r>
      <w:r w:rsidR="007E00D6" w:rsidRPr="00806BB7">
        <w:rPr>
          <w:rFonts w:cs="Times New Roman"/>
          <w:szCs w:val="24"/>
        </w:rPr>
        <w:t xml:space="preserve">een selected articles. In </w:t>
      </w:r>
      <w:r w:rsidR="0013061A" w:rsidRPr="00806BB7">
        <w:rPr>
          <w:rFonts w:cs="Times New Roman"/>
          <w:szCs w:val="24"/>
        </w:rPr>
        <w:t>Step</w:t>
      </w:r>
      <w:r w:rsidR="009A6DA5" w:rsidRPr="00806BB7">
        <w:rPr>
          <w:rFonts w:cs="Times New Roman"/>
          <w:szCs w:val="24"/>
        </w:rPr>
        <w:t xml:space="preserve"> </w:t>
      </w:r>
      <w:r w:rsidR="007E00D6" w:rsidRPr="00806BB7">
        <w:rPr>
          <w:rFonts w:cs="Times New Roman"/>
          <w:szCs w:val="24"/>
        </w:rPr>
        <w:t>5</w:t>
      </w:r>
      <w:r w:rsidRPr="00806BB7">
        <w:rPr>
          <w:rFonts w:cs="Times New Roman"/>
          <w:szCs w:val="24"/>
        </w:rPr>
        <w:t xml:space="preserve">, </w:t>
      </w:r>
      <w:r w:rsidR="007E00D6" w:rsidRPr="00806BB7">
        <w:rPr>
          <w:rFonts w:cs="Times New Roman"/>
          <w:szCs w:val="24"/>
        </w:rPr>
        <w:t xml:space="preserve">the full text of </w:t>
      </w:r>
      <w:r w:rsidRPr="00806BB7">
        <w:rPr>
          <w:rFonts w:cs="Times New Roman"/>
          <w:szCs w:val="24"/>
        </w:rPr>
        <w:t xml:space="preserve">included articles from </w:t>
      </w:r>
      <w:r w:rsidR="0013061A" w:rsidRPr="00806BB7">
        <w:rPr>
          <w:rFonts w:cs="Times New Roman"/>
          <w:szCs w:val="24"/>
        </w:rPr>
        <w:t>Step</w:t>
      </w:r>
      <w:r w:rsidR="009A6DA5" w:rsidRPr="00806BB7">
        <w:rPr>
          <w:rFonts w:cs="Times New Roman"/>
          <w:szCs w:val="24"/>
        </w:rPr>
        <w:t xml:space="preserve"> </w:t>
      </w:r>
      <w:r w:rsidRPr="00806BB7">
        <w:rPr>
          <w:rFonts w:cs="Times New Roman"/>
          <w:szCs w:val="24"/>
        </w:rPr>
        <w:t xml:space="preserve">4 were assessed for eligibility by KDS. Where there was ambiguity regarding the inclusion of a selected work, the text was discussed by both authors. </w:t>
      </w:r>
      <w:r w:rsidRPr="00806BB7">
        <w:rPr>
          <w:rFonts w:cs="Times New Roman"/>
          <w:szCs w:val="24"/>
        </w:rPr>
        <w:lastRenderedPageBreak/>
        <w:t>The rationale for excluded works was recorded (</w:t>
      </w:r>
      <w:r w:rsidR="00866D63" w:rsidRPr="00806BB7">
        <w:rPr>
          <w:rFonts w:cs="Times New Roman"/>
          <w:szCs w:val="24"/>
        </w:rPr>
        <w:t xml:space="preserve">see </w:t>
      </w:r>
      <w:r w:rsidR="007E00D6" w:rsidRPr="00F8700E">
        <w:rPr>
          <w:rFonts w:cs="Times New Roman"/>
          <w:szCs w:val="24"/>
        </w:rPr>
        <w:t>Appendix B</w:t>
      </w:r>
      <w:r w:rsidR="00866D63" w:rsidRPr="00806BB7">
        <w:rPr>
          <w:rFonts w:cs="Times New Roman"/>
          <w:szCs w:val="24"/>
        </w:rPr>
        <w:t xml:space="preserve"> for </w:t>
      </w:r>
      <w:r w:rsidR="0013061A" w:rsidRPr="00806BB7">
        <w:rPr>
          <w:rFonts w:cs="Times New Roman"/>
          <w:szCs w:val="24"/>
        </w:rPr>
        <w:t>Step</w:t>
      </w:r>
      <w:r w:rsidR="009A6DA5" w:rsidRPr="00806BB7">
        <w:rPr>
          <w:rFonts w:cs="Times New Roman"/>
          <w:szCs w:val="24"/>
        </w:rPr>
        <w:t xml:space="preserve"> </w:t>
      </w:r>
      <w:r w:rsidR="00866D63" w:rsidRPr="00806BB7">
        <w:rPr>
          <w:rFonts w:cs="Times New Roman"/>
          <w:szCs w:val="24"/>
        </w:rPr>
        <w:t>5 exclusions</w:t>
      </w:r>
      <w:r w:rsidRPr="00806BB7">
        <w:rPr>
          <w:rFonts w:cs="Times New Roman"/>
          <w:szCs w:val="24"/>
        </w:rPr>
        <w:t xml:space="preserve">). Up to </w:t>
      </w:r>
      <w:r w:rsidR="0013061A" w:rsidRPr="00806BB7">
        <w:rPr>
          <w:rFonts w:cs="Times New Roman"/>
          <w:szCs w:val="24"/>
        </w:rPr>
        <w:t>Step</w:t>
      </w:r>
      <w:r w:rsidR="009A6DA5" w:rsidRPr="00806BB7">
        <w:rPr>
          <w:rFonts w:cs="Times New Roman"/>
          <w:szCs w:val="24"/>
        </w:rPr>
        <w:t xml:space="preserve"> </w:t>
      </w:r>
      <w:r w:rsidR="007E00D6" w:rsidRPr="00806BB7">
        <w:rPr>
          <w:rFonts w:cs="Times New Roman"/>
          <w:szCs w:val="24"/>
        </w:rPr>
        <w:t>3</w:t>
      </w:r>
      <w:r w:rsidRPr="00806BB7">
        <w:rPr>
          <w:rFonts w:cs="Times New Roman"/>
          <w:szCs w:val="24"/>
        </w:rPr>
        <w:t>, both authors were blind to journal titles, study authors</w:t>
      </w:r>
      <w:r w:rsidR="00D105F0" w:rsidRPr="00806BB7">
        <w:rPr>
          <w:rFonts w:cs="Times New Roman"/>
          <w:szCs w:val="24"/>
        </w:rPr>
        <w:t>,</w:t>
      </w:r>
      <w:r w:rsidRPr="00806BB7">
        <w:rPr>
          <w:rFonts w:cs="Times New Roman"/>
          <w:szCs w:val="24"/>
        </w:rPr>
        <w:t xml:space="preserve"> and instit</w:t>
      </w:r>
      <w:r w:rsidR="007E00D6" w:rsidRPr="00806BB7">
        <w:rPr>
          <w:rFonts w:cs="Times New Roman"/>
          <w:szCs w:val="24"/>
        </w:rPr>
        <w:t>utions.</w:t>
      </w:r>
    </w:p>
    <w:p w14:paraId="74922C69" w14:textId="42E9E28C" w:rsidR="003A2D0D" w:rsidRPr="00806BB7" w:rsidRDefault="003A2D0D" w:rsidP="003A2D0D">
      <w:pPr>
        <w:pStyle w:val="Heading2"/>
        <w:rPr>
          <w:szCs w:val="24"/>
        </w:rPr>
      </w:pPr>
      <w:bookmarkStart w:id="12" w:name="_Toc39065439"/>
      <w:r w:rsidRPr="00806BB7">
        <w:rPr>
          <w:szCs w:val="24"/>
        </w:rPr>
        <w:t>Data Extraction</w:t>
      </w:r>
      <w:bookmarkEnd w:id="12"/>
      <w:r w:rsidRPr="00806BB7">
        <w:rPr>
          <w:szCs w:val="24"/>
        </w:rPr>
        <w:t xml:space="preserve"> </w:t>
      </w:r>
    </w:p>
    <w:p w14:paraId="74DB18AD" w14:textId="301A8906" w:rsidR="00CD34BB" w:rsidRPr="00806BB7" w:rsidRDefault="003A2D0D" w:rsidP="00F8700E">
      <w:pPr>
        <w:rPr>
          <w:rFonts w:cs="Times New Roman"/>
          <w:szCs w:val="24"/>
        </w:rPr>
      </w:pPr>
      <w:r w:rsidRPr="00806BB7">
        <w:rPr>
          <w:rFonts w:cs="Times New Roman"/>
          <w:szCs w:val="24"/>
        </w:rPr>
        <w:t xml:space="preserve">The data were extracted from each of the </w:t>
      </w:r>
      <w:r w:rsidR="008423AD" w:rsidRPr="00806BB7">
        <w:rPr>
          <w:rFonts w:cs="Times New Roman"/>
          <w:szCs w:val="24"/>
        </w:rPr>
        <w:t xml:space="preserve">selected </w:t>
      </w:r>
      <w:r w:rsidRPr="00806BB7">
        <w:rPr>
          <w:rFonts w:cs="Times New Roman"/>
          <w:szCs w:val="24"/>
        </w:rPr>
        <w:t xml:space="preserve">works and entered into a customized </w:t>
      </w:r>
      <w:r w:rsidR="00465606" w:rsidRPr="00806BB7">
        <w:rPr>
          <w:rFonts w:cs="Times New Roman"/>
          <w:szCs w:val="24"/>
        </w:rPr>
        <w:t>W</w:t>
      </w:r>
      <w:r w:rsidRPr="00806BB7">
        <w:rPr>
          <w:rFonts w:cs="Times New Roman"/>
          <w:szCs w:val="24"/>
        </w:rPr>
        <w:t xml:space="preserve">ord </w:t>
      </w:r>
      <w:r w:rsidRPr="00806BB7">
        <w:rPr>
          <w:szCs w:val="24"/>
        </w:rPr>
        <w:t xml:space="preserve">document (see </w:t>
      </w:r>
      <w:r w:rsidR="002E0EA8" w:rsidRPr="00F8700E">
        <w:rPr>
          <w:szCs w:val="24"/>
        </w:rPr>
        <w:t>Appendix C</w:t>
      </w:r>
      <w:r w:rsidRPr="00806BB7">
        <w:rPr>
          <w:szCs w:val="24"/>
        </w:rPr>
        <w:t xml:space="preserve">). The data included demographic information, perceptual measures used and outcomes, and reading assessments and outcomes. In instances where required data was missing, </w:t>
      </w:r>
      <w:r w:rsidR="009630CD" w:rsidRPr="00806BB7">
        <w:rPr>
          <w:szCs w:val="24"/>
        </w:rPr>
        <w:t>contact with the appropriate author was attempted</w:t>
      </w:r>
      <w:r w:rsidRPr="00806BB7">
        <w:rPr>
          <w:szCs w:val="24"/>
        </w:rPr>
        <w:t xml:space="preserve"> and additional information requested. If there was no response</w:t>
      </w:r>
      <w:r w:rsidRPr="00806BB7">
        <w:rPr>
          <w:rFonts w:cs="Times New Roman"/>
          <w:szCs w:val="24"/>
        </w:rPr>
        <w:t xml:space="preserve"> from the author, or the data was unavailable, we excluded the study from the meta-analysis (one study was excluded based on this criteria) but included in the narrative review. </w:t>
      </w:r>
    </w:p>
    <w:p w14:paraId="22F8D54B" w14:textId="4711C26A" w:rsidR="003A2D0D" w:rsidRPr="00806BB7" w:rsidRDefault="003A2D0D" w:rsidP="00214105">
      <w:pPr>
        <w:pStyle w:val="Heading2"/>
        <w:rPr>
          <w:szCs w:val="24"/>
        </w:rPr>
      </w:pPr>
      <w:bookmarkStart w:id="13" w:name="_Toc39065440"/>
      <w:r w:rsidRPr="00806BB7">
        <w:rPr>
          <w:szCs w:val="24"/>
        </w:rPr>
        <w:t>Appraisal of Methodological Quality</w:t>
      </w:r>
      <w:bookmarkEnd w:id="13"/>
      <w:r w:rsidRPr="00806BB7">
        <w:rPr>
          <w:szCs w:val="24"/>
        </w:rPr>
        <w:t xml:space="preserve"> </w:t>
      </w:r>
    </w:p>
    <w:p w14:paraId="3F1B5791" w14:textId="464A7143" w:rsidR="003A2D0D" w:rsidRPr="00806BB7" w:rsidRDefault="003A2D0D" w:rsidP="003A2D0D">
      <w:pPr>
        <w:contextualSpacing/>
        <w:rPr>
          <w:rFonts w:cs="Times New Roman"/>
          <w:b/>
          <w:i/>
          <w:szCs w:val="24"/>
        </w:rPr>
      </w:pPr>
      <w:r w:rsidRPr="00806BB7">
        <w:rPr>
          <w:rFonts w:cs="Times New Roman"/>
          <w:szCs w:val="24"/>
        </w:rPr>
        <w:t xml:space="preserve">To assess the risk of bias for each study, we used an adapted version of the </w:t>
      </w:r>
      <w:r w:rsidR="00224AA6" w:rsidRPr="00806BB7">
        <w:rPr>
          <w:rFonts w:cs="Times New Roman"/>
          <w:szCs w:val="24"/>
        </w:rPr>
        <w:t xml:space="preserve">Newcastle-Ottawa Scale </w:t>
      </w:r>
      <w:r w:rsidR="00224AA6" w:rsidRPr="00F8700E">
        <w:rPr>
          <w:rFonts w:cs="Times New Roman"/>
          <w:szCs w:val="24"/>
        </w:rPr>
        <w:fldChar w:fldCharType="begin"/>
      </w:r>
      <w:r w:rsidR="00095E48" w:rsidRPr="00F8700E">
        <w:rPr>
          <w:rFonts w:cs="Times New Roman"/>
          <w:szCs w:val="24"/>
        </w:rPr>
        <w:instrText xml:space="preserve"> ADDIN ZOTERO_ITEM CSL_CITATION {"citationID":"6ptZI0ah","properties":{"formattedCitation":"(Wells et al., 2012)","plainCitation":"(Wells et al., 2012)","noteIndex":0},"citationItems":[{"id":369,"uris":["http://zotero.org/users/6317667/items/TILRHS6A"],"uri":["http://zotero.org/users/6317667/items/TILRHS6A"],"itemData":{"id":369,"type":"article-journal","language":"en","page":"21","source":"Zotero","title":"The Newcastle-Ottawa Scale (NOS) for Assessing the Quality of Nonrandomized Studies in Meta- Analysis","author":[{"family":"Wells","given":"G"},{"family":"Shea","given":"B"},{"family":"O’Connell","given":"D"},{"family":"Robertson","given":"J"},{"family":"Peterson","given":"J"},{"family":"Welch","given":"V"},{"family":"Losos","given":"M"},{"family":"Tugwell","given":"P"}],"issued":{"date-parts":[["2012"]]}}}],"schema":"https://github.com/citation-style-language/schema/raw/master/csl-citation.json"} </w:instrText>
      </w:r>
      <w:r w:rsidR="00224AA6" w:rsidRPr="00F8700E">
        <w:rPr>
          <w:rFonts w:cs="Times New Roman"/>
          <w:szCs w:val="24"/>
        </w:rPr>
        <w:fldChar w:fldCharType="separate"/>
      </w:r>
      <w:r w:rsidR="00224AA6" w:rsidRPr="00F8700E">
        <w:rPr>
          <w:rFonts w:cs="Times New Roman"/>
          <w:szCs w:val="24"/>
        </w:rPr>
        <w:t>(Wells et al., 2012)</w:t>
      </w:r>
      <w:r w:rsidR="00224AA6" w:rsidRPr="00F8700E">
        <w:rPr>
          <w:rFonts w:cs="Times New Roman"/>
          <w:szCs w:val="24"/>
        </w:rPr>
        <w:fldChar w:fldCharType="end"/>
      </w:r>
      <w:r w:rsidR="00224AA6" w:rsidRPr="00F8700E">
        <w:rPr>
          <w:rFonts w:cs="Times New Roman"/>
          <w:szCs w:val="24"/>
        </w:rPr>
        <w:t xml:space="preserve"> (Appendix </w:t>
      </w:r>
      <w:r w:rsidR="002E0EA8" w:rsidRPr="00F8700E">
        <w:rPr>
          <w:rFonts w:cs="Times New Roman"/>
          <w:szCs w:val="24"/>
        </w:rPr>
        <w:t>D</w:t>
      </w:r>
      <w:r w:rsidR="00224AA6" w:rsidRPr="00F8700E">
        <w:rPr>
          <w:rFonts w:cs="Times New Roman"/>
          <w:szCs w:val="24"/>
        </w:rPr>
        <w:t>)</w:t>
      </w:r>
      <w:r w:rsidRPr="00F8700E">
        <w:rPr>
          <w:rFonts w:cs="Times New Roman"/>
          <w:szCs w:val="24"/>
        </w:rPr>
        <w:t>.</w:t>
      </w:r>
      <w:r w:rsidRPr="00806BB7">
        <w:rPr>
          <w:rFonts w:cs="Times New Roman"/>
          <w:szCs w:val="24"/>
        </w:rPr>
        <w:t xml:space="preserve"> We awarded each work a maximum of 21 points in relation to the following constructs: Representativeness of the sample (0 to 3), Sample size (0 to 1), Sample quality (1 to 3), Assessment of outcome for each of perceptual and reading measure (1 to 4)</w:t>
      </w:r>
      <w:r w:rsidR="00465606" w:rsidRPr="00806BB7">
        <w:rPr>
          <w:rFonts w:cs="Times New Roman"/>
          <w:szCs w:val="24"/>
        </w:rPr>
        <w:t>,</w:t>
      </w:r>
      <w:r w:rsidRPr="00806BB7">
        <w:rPr>
          <w:rFonts w:cs="Times New Roman"/>
          <w:szCs w:val="24"/>
        </w:rPr>
        <w:t xml:space="preserve"> and </w:t>
      </w:r>
      <w:r w:rsidR="00465606" w:rsidRPr="00806BB7">
        <w:rPr>
          <w:rFonts w:cs="Times New Roman"/>
          <w:szCs w:val="24"/>
        </w:rPr>
        <w:t>S</w:t>
      </w:r>
      <w:r w:rsidRPr="00806BB7">
        <w:rPr>
          <w:rFonts w:cs="Times New Roman"/>
          <w:szCs w:val="24"/>
        </w:rPr>
        <w:t>tatistical-test quality for each of</w:t>
      </w:r>
      <w:r w:rsidR="00465606" w:rsidRPr="00806BB7">
        <w:rPr>
          <w:rFonts w:cs="Times New Roman"/>
          <w:szCs w:val="24"/>
        </w:rPr>
        <w:t xml:space="preserve"> the</w:t>
      </w:r>
      <w:r w:rsidRPr="00806BB7">
        <w:rPr>
          <w:rFonts w:cs="Times New Roman"/>
          <w:szCs w:val="24"/>
        </w:rPr>
        <w:t xml:space="preserve"> perceptual and reading measures (1 to 3)</w:t>
      </w:r>
      <w:r w:rsidR="00465606" w:rsidRPr="00806BB7">
        <w:rPr>
          <w:rFonts w:cs="Times New Roman"/>
          <w:szCs w:val="24"/>
        </w:rPr>
        <w:t>.</w:t>
      </w:r>
      <w:r w:rsidRPr="00806BB7">
        <w:rPr>
          <w:rFonts w:cs="Times New Roman"/>
          <w:szCs w:val="24"/>
        </w:rPr>
        <w:t xml:space="preserve"> These ratings were made independently by both authors and any discrepancies were discussed</w:t>
      </w:r>
      <w:r w:rsidR="00465606" w:rsidRPr="00806BB7">
        <w:rPr>
          <w:rFonts w:cs="Times New Roman"/>
          <w:szCs w:val="24"/>
        </w:rPr>
        <w:t xml:space="preserve"> until agreement was reached</w:t>
      </w:r>
      <w:r w:rsidRPr="00806BB7">
        <w:rPr>
          <w:rFonts w:cs="Times New Roman"/>
          <w:szCs w:val="24"/>
        </w:rPr>
        <w:t>. The evidence was evaluated based on three tiers of quality ratings: high (15 to 21 points), medium (8 to 14), and low (1 to 7). The greatest weight for conclusions was based on the high-quality papers, followed by medium, and low. If the conclusions</w:t>
      </w:r>
      <w:r w:rsidR="009A6DA5" w:rsidRPr="00806BB7">
        <w:rPr>
          <w:rFonts w:cs="Times New Roman"/>
          <w:szCs w:val="24"/>
        </w:rPr>
        <w:t xml:space="preserve"> were</w:t>
      </w:r>
      <w:r w:rsidRPr="00806BB7">
        <w:rPr>
          <w:rFonts w:cs="Times New Roman"/>
          <w:szCs w:val="24"/>
        </w:rPr>
        <w:t xml:space="preserve"> consistent between these tiers, then we conclude</w:t>
      </w:r>
      <w:r w:rsidR="009A6DA5" w:rsidRPr="00806BB7">
        <w:rPr>
          <w:rFonts w:cs="Times New Roman"/>
          <w:szCs w:val="24"/>
        </w:rPr>
        <w:t>d</w:t>
      </w:r>
      <w:r w:rsidRPr="00806BB7">
        <w:rPr>
          <w:rFonts w:cs="Times New Roman"/>
          <w:szCs w:val="24"/>
        </w:rPr>
        <w:t xml:space="preserve"> the literature to be limited in terms of bias</w:t>
      </w:r>
      <w:r w:rsidR="0013061A" w:rsidRPr="00806BB7">
        <w:rPr>
          <w:rFonts w:cs="Times New Roman"/>
          <w:szCs w:val="24"/>
        </w:rPr>
        <w:t>.</w:t>
      </w:r>
    </w:p>
    <w:p w14:paraId="6EF345E8" w14:textId="6B73D957" w:rsidR="003A2D0D" w:rsidRPr="00806BB7" w:rsidRDefault="003A2D0D" w:rsidP="003A2D0D">
      <w:pPr>
        <w:pStyle w:val="Heading2"/>
        <w:rPr>
          <w:szCs w:val="24"/>
        </w:rPr>
      </w:pPr>
      <w:bookmarkStart w:id="14" w:name="_Toc39065441"/>
      <w:r w:rsidRPr="00806BB7">
        <w:rPr>
          <w:szCs w:val="24"/>
        </w:rPr>
        <w:t>Data Analysis</w:t>
      </w:r>
      <w:bookmarkEnd w:id="14"/>
      <w:r w:rsidRPr="00806BB7">
        <w:rPr>
          <w:szCs w:val="24"/>
        </w:rPr>
        <w:t xml:space="preserve"> </w:t>
      </w:r>
    </w:p>
    <w:p w14:paraId="44168CB5" w14:textId="1F324A2F" w:rsidR="003A2D0D" w:rsidRPr="00806BB7" w:rsidRDefault="003A2D0D" w:rsidP="003A2D0D">
      <w:pPr>
        <w:contextualSpacing/>
        <w:rPr>
          <w:rFonts w:cs="Times New Roman"/>
          <w:szCs w:val="24"/>
        </w:rPr>
      </w:pPr>
      <w:r w:rsidRPr="00806BB7">
        <w:rPr>
          <w:rFonts w:cs="Times New Roman"/>
          <w:szCs w:val="24"/>
        </w:rPr>
        <w:t xml:space="preserve">The results of the individual studies measuring the relationship between perceptual anchoring and </w:t>
      </w:r>
      <w:r w:rsidR="0013061A" w:rsidRPr="00806BB7">
        <w:rPr>
          <w:rFonts w:cs="Times New Roman"/>
          <w:szCs w:val="24"/>
        </w:rPr>
        <w:t>dyslexia</w:t>
      </w:r>
      <w:r w:rsidRPr="00806BB7">
        <w:rPr>
          <w:rFonts w:cs="Times New Roman"/>
          <w:szCs w:val="24"/>
        </w:rPr>
        <w:t xml:space="preserve"> were meta-analysed using a combination of packages through </w:t>
      </w:r>
      <w:r w:rsidRPr="00806BB7">
        <w:rPr>
          <w:rFonts w:cs="Times New Roman"/>
          <w:szCs w:val="24"/>
        </w:rPr>
        <w:lastRenderedPageBreak/>
        <w:t xml:space="preserve">statistical and data analysis software R </w:t>
      </w:r>
      <w:r w:rsidR="00785F41" w:rsidRPr="00806BB7">
        <w:rPr>
          <w:rFonts w:cs="Times New Roman"/>
          <w:szCs w:val="24"/>
        </w:rPr>
        <w:fldChar w:fldCharType="begin"/>
      </w:r>
      <w:r w:rsidR="00095E48" w:rsidRPr="00806BB7">
        <w:rPr>
          <w:rFonts w:cs="Times New Roman"/>
          <w:szCs w:val="24"/>
        </w:rPr>
        <w:instrText xml:space="preserve"> ADDIN ZOTERO_ITEM CSL_CITATION {"citationID":"AwYAKGPC","properties":{"formattedCitation":"(R Core Team, n.d.)","plainCitation":"(R Core Team, n.d.)","dontUpdate":true,"noteIndex":0},"citationItems":[{"id":358,"uris":["http://zotero.org/users/6317667/items/85CI9WAD"],"uri":["http://zotero.org/users/6317667/items/85CI9WAD"],"itemData":{"id":358,"type":"webpage","abstract":"R: A language and environment for statistical computing. R Foundation for Statistical Computing, Vienna, Austria.","container-title":"European Environment Agency","genre":"Methodology Reference","language":"en","note":"source: www.eea.europa.eu","title":"R Core Team (2019).","URL":"https://www.eea.europa.eu/data-and-maps/indicators/oxygen-consuming-substances-in-rivers/r-development-core-team-2006","author":[{"family":"R Core Team","given":""}],"accessed":{"date-parts":[["2020",4,28]]},"issued":{"date-parts":[["2019"]]}}}],"schema":"https://github.com/citation-style-language/schema/raw/master/csl-citation.json"} </w:instrText>
      </w:r>
      <w:r w:rsidR="00785F41" w:rsidRPr="00806BB7">
        <w:rPr>
          <w:rFonts w:cs="Times New Roman"/>
          <w:szCs w:val="24"/>
        </w:rPr>
        <w:fldChar w:fldCharType="separate"/>
      </w:r>
      <w:r w:rsidR="00785F41" w:rsidRPr="00806BB7">
        <w:rPr>
          <w:rFonts w:cs="Times New Roman"/>
          <w:szCs w:val="24"/>
        </w:rPr>
        <w:t>(R Core Team, 2019)</w:t>
      </w:r>
      <w:r w:rsidR="00785F41" w:rsidRPr="00806BB7">
        <w:rPr>
          <w:rFonts w:cs="Times New Roman"/>
          <w:szCs w:val="24"/>
        </w:rPr>
        <w:fldChar w:fldCharType="end"/>
      </w:r>
      <w:r w:rsidRPr="00806BB7">
        <w:rPr>
          <w:rFonts w:cs="Times New Roman"/>
          <w:szCs w:val="24"/>
        </w:rPr>
        <w:t xml:space="preserve">: meta </w:t>
      </w:r>
      <w:r w:rsidR="00263C80" w:rsidRPr="00806BB7">
        <w:rPr>
          <w:rFonts w:cs="Times New Roman"/>
          <w:szCs w:val="24"/>
        </w:rPr>
        <w:fldChar w:fldCharType="begin"/>
      </w:r>
      <w:r w:rsidR="00095E48" w:rsidRPr="00806BB7">
        <w:rPr>
          <w:rFonts w:cs="Times New Roman"/>
          <w:szCs w:val="24"/>
        </w:rPr>
        <w:instrText xml:space="preserve"> ADDIN ZOTERO_ITEM CSL_CITATION {"citationID":"kwFvL9Xl","properties":{"formattedCitation":"(Schwarzer, 2007)","plainCitation":"(Schwarzer, 2007)","noteIndex":0},"citationItems":[{"id":368,"uris":["http://zotero.org/users/6317667/items/FXM8VWSX"],"uri":["http://zotero.org/users/6317667/items/FXM8VWSX"],"itemData":{"id":368,"type":"article-journal","abstract":"This paper describes version 0.8-2 of R package meta which has been published in February 2007.\n\nMost R commands presented in the paper are still working today with the current version of meta.\n\nThe command\nsummary(m1, byvar = Fleiss93$year &lt; 1980, bylab = \"year&lt;1980\")\nhas been replaced by\nsummary(update(m1, byvar = year &lt; 1980, bylab = \"year&lt;1980\")).\n\nFurthermore, the R function plot.meta() has been replaced by forest.meta().","page":"40-45","source":"ResearchGate","title":"meta: An R Package for Meta-Analysis","title-short":"meta","volume":"7","author":[{"family":"Schwarzer","given":"Guido"}],"issued":{"date-parts":[["2007",12,1]]}}}],"schema":"https://github.com/citation-style-language/schema/raw/master/csl-citation.json"} </w:instrText>
      </w:r>
      <w:r w:rsidR="00263C80" w:rsidRPr="00806BB7">
        <w:rPr>
          <w:rFonts w:cs="Times New Roman"/>
          <w:szCs w:val="24"/>
        </w:rPr>
        <w:fldChar w:fldCharType="separate"/>
      </w:r>
      <w:r w:rsidR="00263C80" w:rsidRPr="00806BB7">
        <w:rPr>
          <w:rFonts w:cs="Times New Roman"/>
          <w:szCs w:val="24"/>
        </w:rPr>
        <w:t>(Schwarzer, 2007)</w:t>
      </w:r>
      <w:r w:rsidR="00263C80" w:rsidRPr="00806BB7">
        <w:rPr>
          <w:rFonts w:cs="Times New Roman"/>
          <w:szCs w:val="24"/>
        </w:rPr>
        <w:fldChar w:fldCharType="end"/>
      </w:r>
      <w:r w:rsidRPr="00806BB7">
        <w:rPr>
          <w:rFonts w:cs="Times New Roman"/>
          <w:szCs w:val="24"/>
        </w:rPr>
        <w:t xml:space="preserve">; metaphor </w:t>
      </w:r>
      <w:r w:rsidR="00263C80" w:rsidRPr="00806BB7">
        <w:rPr>
          <w:rFonts w:cs="Times New Roman"/>
          <w:szCs w:val="24"/>
        </w:rPr>
        <w:fldChar w:fldCharType="begin"/>
      </w:r>
      <w:r w:rsidR="00903EDA">
        <w:rPr>
          <w:rFonts w:cs="Times New Roman"/>
          <w:szCs w:val="24"/>
        </w:rPr>
        <w:instrText xml:space="preserve"> ADDIN ZOTERO_ITEM CSL_CITATION {"citationID":"KJjjH3nT","properties":{"formattedCitation":"(Viechtbauer, 2010)","plainCitation":"(Viechtbauer, 2010)","noteIndex":0},"citationItems":[{"id":"fEVmXEQT/DktvGk3o","uris":["http://zotero.org/users/6317667/items/A8LEXLA5"],"uri":["http://zotero.org/users/6317667/items/A8LEXLA5"],"itemData":{"id":129,"type":"article-journal","container-title":"Journal of Statistical Software","DOI":"10.18637/jss.v036.i03","ISSN":"1548-7660","issue":"3","page":"1-48","title":"Conducting Meta-Analyses in R with the metafor Package","volume":"36","author":[{"family":"Viechtbauer","given":"Wolfgang"}],"editor":[{"family":"Fhml Methodologie","given":""},{"family":"Statistiek","given":""},{"family":"Rs Caphri School for Public Health","given":""},{"family":"Primary","given":"Care"}],"issued":{"date-parts":[["2010"]]}}}],"schema":"https://github.com/citation-style-language/schema/raw/master/csl-citation.json"} </w:instrText>
      </w:r>
      <w:r w:rsidR="00263C80" w:rsidRPr="00806BB7">
        <w:rPr>
          <w:rFonts w:cs="Times New Roman"/>
          <w:szCs w:val="24"/>
        </w:rPr>
        <w:fldChar w:fldCharType="separate"/>
      </w:r>
      <w:r w:rsidR="00263C80" w:rsidRPr="00806BB7">
        <w:rPr>
          <w:rFonts w:cs="Times New Roman"/>
          <w:szCs w:val="24"/>
        </w:rPr>
        <w:t>(Viechtbauer, 2010)</w:t>
      </w:r>
      <w:r w:rsidR="00263C80" w:rsidRPr="00806BB7">
        <w:rPr>
          <w:rFonts w:cs="Times New Roman"/>
          <w:szCs w:val="24"/>
        </w:rPr>
        <w:fldChar w:fldCharType="end"/>
      </w:r>
      <w:r w:rsidRPr="00806BB7">
        <w:rPr>
          <w:rFonts w:cs="Times New Roman"/>
          <w:szCs w:val="24"/>
        </w:rPr>
        <w:t xml:space="preserve">; dmetar </w:t>
      </w:r>
      <w:r w:rsidR="00263C80" w:rsidRPr="00806BB7">
        <w:rPr>
          <w:rFonts w:cs="Times New Roman"/>
          <w:szCs w:val="24"/>
        </w:rPr>
        <w:fldChar w:fldCharType="begin"/>
      </w:r>
      <w:r w:rsidR="00095E48" w:rsidRPr="00806BB7">
        <w:rPr>
          <w:rFonts w:cs="Times New Roman"/>
          <w:szCs w:val="24"/>
        </w:rPr>
        <w:instrText xml:space="preserve"> ADDIN ZOTERO_ITEM CSL_CITATION {"citationID":"XNJdvORT","properties":{"formattedCitation":"(Harrer et al., 2019)","plainCitation":"(Harrer et al., 2019)","noteIndex":0},"citationItems":[{"id":366,"uris":["http://zotero.org/users/6317667/items/ES8NQMNI"],"uri":["http://zotero.org/users/6317667/items/ES8NQMNI"],"itemData":{"id":366,"type":"webpage","abstract":"This package serves as the companion R package for the guide Doing Meta-Analysis in R by \n    Mathias Harrer, Pim Cuijpers, Toshi Furukawa and David Daniel Ebert. The package contains \n    complementary functions to facilitate the conduction of meta-analyses using the meta, metafor, \n    netmeta and gemtc packages.","language":"en","note":"source: dmetar.protectlab.org","title":"Companion R Package For The Guide Doing Meta-Analysis in R","URL":"https://dmetar.protectlab.org/","author":[{"family":"Harrer","given":"Mathias"},{"family":"Cuijpers","given":"Pim"},{"family":"Furukawa","given":"Toshi"},{"family":"Ebert. E","given":"David"}],"accessed":{"date-parts":[["2020",4,27]]},"issued":{"date-parts":[["2019"]]}}}],"schema":"https://github.com/citation-style-language/schema/raw/master/csl-citation.json"} </w:instrText>
      </w:r>
      <w:r w:rsidR="00263C80" w:rsidRPr="00806BB7">
        <w:rPr>
          <w:rFonts w:cs="Times New Roman"/>
          <w:szCs w:val="24"/>
        </w:rPr>
        <w:fldChar w:fldCharType="separate"/>
      </w:r>
      <w:r w:rsidR="00263C80" w:rsidRPr="00806BB7">
        <w:rPr>
          <w:rFonts w:cs="Times New Roman"/>
          <w:szCs w:val="24"/>
        </w:rPr>
        <w:t>(Harrer et al., 2019)</w:t>
      </w:r>
      <w:r w:rsidR="00263C80" w:rsidRPr="00806BB7">
        <w:rPr>
          <w:rFonts w:cs="Times New Roman"/>
          <w:szCs w:val="24"/>
        </w:rPr>
        <w:fldChar w:fldCharType="end"/>
      </w:r>
      <w:r w:rsidR="001A0ACA" w:rsidRPr="00806BB7">
        <w:rPr>
          <w:rFonts w:cs="Times New Roman"/>
          <w:szCs w:val="24"/>
        </w:rPr>
        <w:t xml:space="preserve">; </w:t>
      </w:r>
      <w:r w:rsidR="00293AFE" w:rsidRPr="00806BB7">
        <w:rPr>
          <w:rFonts w:cs="Times New Roman"/>
          <w:szCs w:val="24"/>
        </w:rPr>
        <w:t>MOTE</w:t>
      </w:r>
      <w:r w:rsidR="001A0ACA" w:rsidRPr="00806BB7">
        <w:rPr>
          <w:rFonts w:cs="Times New Roman"/>
          <w:szCs w:val="24"/>
        </w:rPr>
        <w:t xml:space="preserve"> </w:t>
      </w:r>
      <w:r w:rsidR="001A0ACA" w:rsidRPr="00806BB7">
        <w:rPr>
          <w:rFonts w:cs="Times New Roman"/>
          <w:szCs w:val="24"/>
        </w:rPr>
        <w:fldChar w:fldCharType="begin"/>
      </w:r>
      <w:r w:rsidR="00095E48" w:rsidRPr="00806BB7">
        <w:rPr>
          <w:rFonts w:cs="Times New Roman"/>
          <w:szCs w:val="24"/>
        </w:rPr>
        <w:instrText xml:space="preserve"> ADDIN ZOTERO_ITEM CSL_CITATION {"citationID":"VTA3Aias","properties":{"formattedCitation":"(Buchanan et al., 2019)","plainCitation":"(Buchanan et al., 2019)","noteIndex":0},"citationItems":[{"id":345,"uris":["http://zotero.org/users/6317667/items/I3DILINR"],"uri":["http://zotero.org/users/6317667/items/I3DILINR"],"itemData":{"id":345,"type":"book","abstract":"Measure of the Effect ('MOTE') is an effect size calculator, including a wide variety of effect sizes in the mean differences family (all versions of d) and the variance overlap family (eta, omega, epsilon, r). 'MOTE' provides non-central confidence intervals for each effect size, relevant test statistics, and output for reporting in APA Style (American Psychological Association, 2010, &lt;ISBN:1433805618&gt;) with 'LaTeX'. In research, an over-reliance on p-values may conceal the fact that a study is under-powered (Halsey, Curran-Everett, Vowler, &amp; Drummond, 2015 &lt;doi:10.1038/nmeth.3288&gt;). A test may be statistically significant, yet practically inconsequential (Fritz, Scherndl, &amp; Kühberger, 2012 &lt;doi:10.1177/0959354312436870&gt;). Although the American Psychological Association has long advocated for the inclusion of effect sizes (Wilkinson &amp; American Psychological Association Task Force on Statistical Inference, 1999 &lt;doi:10.1037/0003-066X.54.8.594&gt;), the vast majority of peer-reviewed, published academic studies stop short of reporting effect sizes and confidence intervals (Cumming, 2013, &lt;doi:10.1177/0956797613504966&gt;). 'MOTE' simplifies the use and interpretation of effect sizes and confidence intervals. For more information, visit &lt;https://www.aggieerin.com/shiny-server&gt;.","source":"R-Packages","title":"MOTE: Effect Size and Confidence Interval Calculator","title-short":"MOTE","URL":"https://CRAN.R-project.org/package=MOTE","version":"1.0.2","author":[{"family":"Buchanan","given":"Erin M."},{"family":"Gillenwaters","given":"Amber M."},{"family":"Scofield","given":"John E."},{"family":"Valentine","given":"K. D."}],"accessed":{"date-parts":[["2020",5,1]]},"issued":{"date-parts":[["2019",4,10]]}}}],"schema":"https://github.com/citation-style-language/schema/raw/master/csl-citation.json"} </w:instrText>
      </w:r>
      <w:r w:rsidR="001A0ACA" w:rsidRPr="00806BB7">
        <w:rPr>
          <w:rFonts w:cs="Times New Roman"/>
          <w:szCs w:val="24"/>
        </w:rPr>
        <w:fldChar w:fldCharType="separate"/>
      </w:r>
      <w:r w:rsidR="00293AFE" w:rsidRPr="00806BB7">
        <w:rPr>
          <w:rFonts w:cs="Times New Roman"/>
          <w:szCs w:val="24"/>
        </w:rPr>
        <w:t>(Buchanan et al., 2019)</w:t>
      </w:r>
      <w:r w:rsidR="001A0ACA" w:rsidRPr="00806BB7">
        <w:rPr>
          <w:rFonts w:cs="Times New Roman"/>
          <w:szCs w:val="24"/>
        </w:rPr>
        <w:fldChar w:fldCharType="end"/>
      </w:r>
      <w:r w:rsidR="00D430F1" w:rsidRPr="00806BB7">
        <w:rPr>
          <w:rFonts w:cs="Times New Roman"/>
          <w:szCs w:val="24"/>
        </w:rPr>
        <w:t xml:space="preserve">; and an Excel effect size calculator </w:t>
      </w:r>
      <w:r w:rsidR="00D430F1" w:rsidRPr="00806BB7">
        <w:rPr>
          <w:rFonts w:cs="Times New Roman"/>
          <w:szCs w:val="24"/>
        </w:rPr>
        <w:fldChar w:fldCharType="begin"/>
      </w:r>
      <w:r w:rsidR="004F04D3" w:rsidRPr="00806BB7">
        <w:rPr>
          <w:rFonts w:cs="Times New Roman"/>
          <w:szCs w:val="24"/>
        </w:rPr>
        <w:instrText xml:space="preserve"> ADDIN ZOTERO_ITEM CSL_CITATION {"citationID":"NZjPfKFC","properties":{"formattedCitation":"(Lakens, 2013)","plainCitation":"(Lakens, 2013)","dontUpdate":true,"noteIndex":0},"citationItems":[{"id":58,"uris":["http://zotero.org/users/6317667/items/TPSLMR2F"],"uri":["http://zotero.org/users/6317667/items/TPSLMR2F"],"itemData":{"id":58,"type":"article-journal","container-title":"Frontiers in Psychology","ISSN":"1664-1078","page":"1-12","title":"Calculating and reporting effect sizes to facilitate cumulative science : a practical primer for t-tests and ANOVAs","volume":"4","author":[{"family":"Lakens","given":"D."}],"editor":[{"family":"Human Technology","given":"Interaction"}],"issued":{"date-parts":[["2013"]]}}}],"schema":"https://github.com/citation-style-language/schema/raw/master/csl-citation.json"} </w:instrText>
      </w:r>
      <w:r w:rsidR="00D430F1" w:rsidRPr="00806BB7">
        <w:rPr>
          <w:rFonts w:cs="Times New Roman"/>
          <w:szCs w:val="24"/>
        </w:rPr>
        <w:fldChar w:fldCharType="separate"/>
      </w:r>
      <w:r w:rsidR="00F20134" w:rsidRPr="00806BB7">
        <w:rPr>
          <w:rFonts w:cs="Times New Roman"/>
          <w:szCs w:val="24"/>
        </w:rPr>
        <w:t>(</w:t>
      </w:r>
      <w:r w:rsidR="0013061A" w:rsidRPr="00806BB7">
        <w:rPr>
          <w:rFonts w:cs="Times New Roman"/>
          <w:szCs w:val="24"/>
        </w:rPr>
        <w:t xml:space="preserve">From_R2D2; </w:t>
      </w:r>
      <w:r w:rsidR="00F20134" w:rsidRPr="00806BB7">
        <w:rPr>
          <w:rFonts w:cs="Times New Roman"/>
          <w:szCs w:val="24"/>
        </w:rPr>
        <w:t>Lakens, 2013)</w:t>
      </w:r>
      <w:r w:rsidR="00D430F1" w:rsidRPr="00806BB7">
        <w:rPr>
          <w:rFonts w:cs="Times New Roman"/>
          <w:szCs w:val="24"/>
        </w:rPr>
        <w:fldChar w:fldCharType="end"/>
      </w:r>
      <w:r w:rsidRPr="00806BB7">
        <w:rPr>
          <w:rFonts w:cs="Times New Roman"/>
          <w:szCs w:val="24"/>
        </w:rPr>
        <w:t xml:space="preserve">. We calculated Hedge’s </w:t>
      </w:r>
      <w:r w:rsidRPr="00806BB7">
        <w:rPr>
          <w:rFonts w:cs="Times New Roman"/>
          <w:i/>
          <w:szCs w:val="24"/>
        </w:rPr>
        <w:t>g</w:t>
      </w:r>
      <w:r w:rsidRPr="00806BB7">
        <w:rPr>
          <w:rFonts w:cs="Times New Roman"/>
          <w:szCs w:val="24"/>
        </w:rPr>
        <w:t xml:space="preserve"> effect sizes using effect size calculators in </w:t>
      </w:r>
      <w:r w:rsidR="00D430F1" w:rsidRPr="00806BB7">
        <w:rPr>
          <w:rFonts w:cs="Times New Roman"/>
          <w:szCs w:val="24"/>
        </w:rPr>
        <w:t>MOTE</w:t>
      </w:r>
      <w:r w:rsidRPr="00806BB7">
        <w:rPr>
          <w:rFonts w:cs="Times New Roman"/>
          <w:szCs w:val="24"/>
        </w:rPr>
        <w:t xml:space="preserve"> </w:t>
      </w:r>
      <w:r w:rsidR="001A0ACA" w:rsidRPr="00806BB7">
        <w:rPr>
          <w:rFonts w:cs="Times New Roman"/>
          <w:szCs w:val="24"/>
        </w:rPr>
        <w:fldChar w:fldCharType="begin"/>
      </w:r>
      <w:r w:rsidR="00095E48" w:rsidRPr="00806BB7">
        <w:rPr>
          <w:rFonts w:cs="Times New Roman"/>
          <w:szCs w:val="24"/>
        </w:rPr>
        <w:instrText xml:space="preserve"> ADDIN ZOTERO_ITEM CSL_CITATION {"citationID":"ZRNaPaiu","properties":{"formattedCitation":"(Buchanan et al., 2019)","plainCitation":"(Buchanan et al., 2019)","noteIndex":0},"citationItems":[{"id":345,"uris":["http://zotero.org/users/6317667/items/I3DILINR"],"uri":["http://zotero.org/users/6317667/items/I3DILINR"],"itemData":{"id":345,"type":"book","abstract":"Measure of the Effect ('MOTE') is an effect size calculator, including a wide variety of effect sizes in the mean differences family (all versions of d) and the variance overlap family (eta, omega, epsilon, r). 'MOTE' provides non-central confidence intervals for each effect size, relevant test statistics, and output for reporting in APA Style (American Psychological Association, 2010, &lt;ISBN:1433805618&gt;) with 'LaTeX'. In research, an over-reliance on p-values may conceal the fact that a study is under-powered (Halsey, Curran-Everett, Vowler, &amp; Drummond, 2015 &lt;doi:10.1038/nmeth.3288&gt;). A test may be statistically significant, yet practically inconsequential (Fritz, Scherndl, &amp; Kühberger, 2012 &lt;doi:10.1177/0959354312436870&gt;). Although the American Psychological Association has long advocated for the inclusion of effect sizes (Wilkinson &amp; American Psychological Association Task Force on Statistical Inference, 1999 &lt;doi:10.1037/0003-066X.54.8.594&gt;), the vast majority of peer-reviewed, published academic studies stop short of reporting effect sizes and confidence intervals (Cumming, 2013, &lt;doi:10.1177/0956797613504966&gt;). 'MOTE' simplifies the use and interpretation of effect sizes and confidence intervals. For more information, visit &lt;https://www.aggieerin.com/shiny-server&gt;.","source":"R-Packages","title":"MOTE: Effect Size and Confidence Interval Calculator","title-short":"MOTE","URL":"https://CRAN.R-project.org/package=MOTE","version":"1.0.2","author":[{"family":"Buchanan","given":"Erin M."},{"family":"Gillenwaters","given":"Amber M."},{"family":"Scofield","given":"John E."},{"family":"Valentine","given":"K. D."}],"accessed":{"date-parts":[["2020",5,1]]},"issued":{"date-parts":[["2019",4,10]]}}}],"schema":"https://github.com/citation-style-language/schema/raw/master/csl-citation.json"} </w:instrText>
      </w:r>
      <w:r w:rsidR="001A0ACA" w:rsidRPr="00806BB7">
        <w:rPr>
          <w:rFonts w:cs="Times New Roman"/>
          <w:szCs w:val="24"/>
        </w:rPr>
        <w:fldChar w:fldCharType="separate"/>
      </w:r>
      <w:r w:rsidR="00D430F1" w:rsidRPr="00806BB7">
        <w:rPr>
          <w:rFonts w:cs="Times New Roman"/>
          <w:szCs w:val="24"/>
        </w:rPr>
        <w:t>(Buchanan et al., 2019)</w:t>
      </w:r>
      <w:r w:rsidR="001A0ACA" w:rsidRPr="00806BB7">
        <w:rPr>
          <w:rFonts w:cs="Times New Roman"/>
          <w:szCs w:val="24"/>
        </w:rPr>
        <w:fldChar w:fldCharType="end"/>
      </w:r>
      <w:r w:rsidR="00047CD6" w:rsidRPr="00806BB7">
        <w:rPr>
          <w:rFonts w:cs="Times New Roman"/>
          <w:szCs w:val="24"/>
        </w:rPr>
        <w:t xml:space="preserve"> and From_R2D2 </w:t>
      </w:r>
      <w:r w:rsidR="00047CD6" w:rsidRPr="00806BB7">
        <w:rPr>
          <w:rFonts w:cs="Times New Roman"/>
          <w:szCs w:val="24"/>
        </w:rPr>
        <w:fldChar w:fldCharType="begin"/>
      </w:r>
      <w:r w:rsidR="00095E48" w:rsidRPr="00806BB7">
        <w:rPr>
          <w:rFonts w:cs="Times New Roman"/>
          <w:szCs w:val="24"/>
        </w:rPr>
        <w:instrText xml:space="preserve"> ADDIN ZOTERO_ITEM CSL_CITATION {"citationID":"g3Ff0Lsw","properties":{"formattedCitation":"(Lakens, 2013)","plainCitation":"(Lakens, 2013)","noteIndex":0},"citationItems":[{"id":58,"uris":["http://zotero.org/users/6317667/items/TPSLMR2F"],"uri":["http://zotero.org/users/6317667/items/TPSLMR2F"],"itemData":{"id":58,"type":"article-journal","container-title":"Frontiers in Psychology","ISSN":"1664-1078","page":"1-12","title":"Calculating and reporting effect sizes to facilitate cumulative science : a practical primer for t-tests and ANOVAs","volume":"4","author":[{"family":"Lakens","given":"D."}],"editor":[{"family":"Human Technology","given":"Interaction"}],"issued":{"date-parts":[["2013"]]}}}],"schema":"https://github.com/citation-style-language/schema/raw/master/csl-citation.json"} </w:instrText>
      </w:r>
      <w:r w:rsidR="00047CD6" w:rsidRPr="00806BB7">
        <w:rPr>
          <w:rFonts w:cs="Times New Roman"/>
          <w:szCs w:val="24"/>
        </w:rPr>
        <w:fldChar w:fldCharType="separate"/>
      </w:r>
      <w:r w:rsidR="00047CD6" w:rsidRPr="00806BB7">
        <w:rPr>
          <w:rFonts w:cs="Times New Roman"/>
          <w:szCs w:val="24"/>
        </w:rPr>
        <w:t>(Lakens, 2013)</w:t>
      </w:r>
      <w:r w:rsidR="00047CD6" w:rsidRPr="00806BB7">
        <w:rPr>
          <w:rFonts w:cs="Times New Roman"/>
          <w:szCs w:val="24"/>
        </w:rPr>
        <w:fldChar w:fldCharType="end"/>
      </w:r>
      <w:r w:rsidRPr="00806BB7">
        <w:rPr>
          <w:rFonts w:cs="Times New Roman"/>
          <w:szCs w:val="24"/>
        </w:rPr>
        <w:t xml:space="preserve"> based on the reported statistics (</w:t>
      </w:r>
      <w:r w:rsidR="00D430F1" w:rsidRPr="00806BB7">
        <w:rPr>
          <w:rFonts w:cs="Times New Roman"/>
          <w:szCs w:val="24"/>
        </w:rPr>
        <w:t xml:space="preserve">i.e., </w:t>
      </w:r>
      <w:r w:rsidRPr="00806BB7">
        <w:rPr>
          <w:rFonts w:cs="Times New Roman"/>
          <w:szCs w:val="24"/>
        </w:rPr>
        <w:t>F-statistic</w:t>
      </w:r>
      <w:r w:rsidR="00D430F1" w:rsidRPr="00806BB7">
        <w:rPr>
          <w:rFonts w:cs="Times New Roman"/>
          <w:szCs w:val="24"/>
        </w:rPr>
        <w:t xml:space="preserve"> and </w:t>
      </w:r>
      <w:r w:rsidR="009A6DA5" w:rsidRPr="00806BB7">
        <w:rPr>
          <w:rFonts w:cs="Times New Roman"/>
          <w:szCs w:val="24"/>
        </w:rPr>
        <w:t>d</w:t>
      </w:r>
      <w:r w:rsidR="00D430F1" w:rsidRPr="00806BB7">
        <w:rPr>
          <w:rFonts w:cs="Times New Roman"/>
          <w:szCs w:val="24"/>
        </w:rPr>
        <w:t>egrees of freedom</w:t>
      </w:r>
      <w:r w:rsidRPr="00806BB7">
        <w:rPr>
          <w:rFonts w:cs="Times New Roman"/>
          <w:szCs w:val="24"/>
        </w:rPr>
        <w:t xml:space="preserve">). </w:t>
      </w:r>
      <w:r w:rsidR="009A6DA5" w:rsidRPr="00806BB7">
        <w:rPr>
          <w:rFonts w:cs="Times New Roman"/>
          <w:szCs w:val="24"/>
        </w:rPr>
        <w:t>E</w:t>
      </w:r>
      <w:r w:rsidRPr="00806BB7">
        <w:rPr>
          <w:rFonts w:cs="Times New Roman"/>
          <w:szCs w:val="24"/>
        </w:rPr>
        <w:t xml:space="preserve">ffect sizes </w:t>
      </w:r>
      <w:r w:rsidR="009A6DA5" w:rsidRPr="00806BB7">
        <w:rPr>
          <w:rFonts w:cs="Times New Roman"/>
          <w:szCs w:val="24"/>
        </w:rPr>
        <w:t xml:space="preserve">reflected the degree of difference between groups (control vs. dyslexia) and within the condition of interest (no reference vs. reference). Hence, </w:t>
      </w:r>
      <w:r w:rsidR="006E2D6C" w:rsidRPr="00806BB7">
        <w:rPr>
          <w:rFonts w:cs="Times New Roman"/>
          <w:szCs w:val="24"/>
        </w:rPr>
        <w:t xml:space="preserve">negative </w:t>
      </w:r>
      <w:r w:rsidR="009A6DA5" w:rsidRPr="00806BB7">
        <w:rPr>
          <w:rFonts w:cs="Times New Roman"/>
          <w:szCs w:val="24"/>
        </w:rPr>
        <w:t xml:space="preserve">effect sizes </w:t>
      </w:r>
      <w:r w:rsidRPr="00806BB7">
        <w:rPr>
          <w:rFonts w:cs="Times New Roman"/>
          <w:szCs w:val="24"/>
        </w:rPr>
        <w:t xml:space="preserve">were interpreted as showing </w:t>
      </w:r>
      <w:r w:rsidR="00C8625A">
        <w:rPr>
          <w:rFonts w:cs="Times New Roman"/>
          <w:szCs w:val="24"/>
        </w:rPr>
        <w:t>less</w:t>
      </w:r>
      <w:r w:rsidR="00C8625A" w:rsidRPr="00806BB7">
        <w:rPr>
          <w:rFonts w:cs="Times New Roman"/>
          <w:szCs w:val="24"/>
        </w:rPr>
        <w:t xml:space="preserve"> </w:t>
      </w:r>
      <w:r w:rsidRPr="00806BB7">
        <w:rPr>
          <w:rFonts w:cs="Times New Roman"/>
          <w:szCs w:val="24"/>
        </w:rPr>
        <w:t xml:space="preserve">anchoring for </w:t>
      </w:r>
      <w:r w:rsidR="00E766A0" w:rsidRPr="00806BB7">
        <w:rPr>
          <w:rFonts w:cs="Times New Roman"/>
          <w:szCs w:val="24"/>
        </w:rPr>
        <w:t>dyslexia</w:t>
      </w:r>
      <w:r w:rsidRPr="00806BB7">
        <w:rPr>
          <w:rFonts w:cs="Times New Roman"/>
          <w:szCs w:val="24"/>
        </w:rPr>
        <w:t xml:space="preserve"> relative to control</w:t>
      </w:r>
      <w:r w:rsidR="00E766A0" w:rsidRPr="00806BB7">
        <w:rPr>
          <w:rFonts w:cs="Times New Roman"/>
          <w:szCs w:val="24"/>
        </w:rPr>
        <w:t xml:space="preserve"> groups</w:t>
      </w:r>
      <w:r w:rsidR="009A6DA5" w:rsidRPr="00806BB7">
        <w:rPr>
          <w:rFonts w:cs="Times New Roman"/>
          <w:szCs w:val="24"/>
        </w:rPr>
        <w:t>.</w:t>
      </w:r>
      <w:r w:rsidRPr="00806BB7">
        <w:rPr>
          <w:rFonts w:cs="Times New Roman"/>
          <w:szCs w:val="24"/>
        </w:rPr>
        <w:t xml:space="preserve"> Hedge’s </w:t>
      </w:r>
      <w:r w:rsidRPr="00806BB7">
        <w:rPr>
          <w:rFonts w:cs="Times New Roman"/>
          <w:i/>
          <w:szCs w:val="24"/>
        </w:rPr>
        <w:t xml:space="preserve">g </w:t>
      </w:r>
      <w:r w:rsidRPr="00806BB7">
        <w:rPr>
          <w:rFonts w:cs="Times New Roman"/>
          <w:szCs w:val="24"/>
        </w:rPr>
        <w:t>was interpreted as small (0.20), moderate (0.50), and large (0.80;</w:t>
      </w:r>
      <w:r w:rsidR="001A0ACA" w:rsidRPr="00806BB7">
        <w:rPr>
          <w:rFonts w:cs="Times New Roman"/>
          <w:szCs w:val="24"/>
        </w:rPr>
        <w:t xml:space="preserve"> </w:t>
      </w:r>
      <w:r w:rsidR="001A0ACA" w:rsidRPr="00806BB7">
        <w:rPr>
          <w:rFonts w:cs="Times New Roman"/>
          <w:szCs w:val="24"/>
        </w:rPr>
        <w:fldChar w:fldCharType="begin"/>
      </w:r>
      <w:r w:rsidR="00095E48" w:rsidRPr="00806BB7">
        <w:rPr>
          <w:rFonts w:cs="Times New Roman"/>
          <w:szCs w:val="24"/>
        </w:rPr>
        <w:instrText xml:space="preserve"> ADDIN ZOTERO_ITEM CSL_CITATION {"citationID":"tvwqWYBM","properties":{"formattedCitation":"(Jacob Cohen, 1988, 1992)","plainCitation":"(Jacob Cohen, 1988, 1992)","dontUpdate":true,"noteIndex":0},"citationItems":[{"id":364,"uris":["http://zotero.org/users/6317667/items/3P93AWHB"],"uri":["http://zotero.org/users/6317667/items/3P93AWHB"],"itemData":{"id":364,"type":"book","call-number":"HA29 .C66 1988","edition":"2nd ed","event-place":"Hillsdale, N.J","ISBN":"978-0-8058-0283-2","language":"en","number-of-pages":"567","publisher":"L. Erlbaum Associates","publisher-place":"Hillsdale, N.J","source":"Library of Congress ISBN","title":"Statistical power analysis for the behavioral sciences","author":[{"family":"Cohen","given":"Jacob"}],"issued":{"date-parts":[["1988"]]}}},{"id":363,"uris":["http://zotero.org/users/6317667/items/B9QU3HJD"],"uri":["http://zotero.org/users/6317667/items/B9QU3HJD"],"itemData":{"id":363,"type":"article-journal","abstract":"One possible reason for the continued neglect of statistical power analysis in research in the behavioral sciences is the inaccessibility of or difficulty with the standard material. A convenient, although not comprehensive, presentation of required sample sizes is provided here. Effect-size indexes and conventional values for these are given for operationally defined small, medium, and large effects. The sample sizes necessary for .80 power to detect effects at these levels are tabled for eight standard statistical tests: (a) the difference between independent means, (b) the significance of a product-moment correlation, (c) the difference between independent rs, (d) the sign test, (e) the difference between independent proportions, (f) chi-square tests for goodness of fit and contingency tables, (g) one-way analysis of variance, and (h) the significance of a multiple or multiple partial correlation.","container-title":"Psychological Bulletin","DOI":"10.1037//0033-2909.112.1.155","ISSN":"0033-2909","issue":"1","journalAbbreviation":"Psychol Bull","language":"eng","note":"PMID: 19565683","page":"155-159","source":"PubMed","title":"A power primer","volume":"112","author":[{"family":"Cohen","given":"Jacob"}],"issued":{"date-parts":[["1992",7]]}}}],"schema":"https://github.com/citation-style-language/schema/raw/master/csl-citation.json"} </w:instrText>
      </w:r>
      <w:r w:rsidR="001A0ACA" w:rsidRPr="00806BB7">
        <w:rPr>
          <w:rFonts w:cs="Times New Roman"/>
          <w:szCs w:val="24"/>
        </w:rPr>
        <w:fldChar w:fldCharType="separate"/>
      </w:r>
      <w:r w:rsidR="001A0ACA" w:rsidRPr="00806BB7">
        <w:rPr>
          <w:rFonts w:cs="Times New Roman"/>
          <w:szCs w:val="24"/>
        </w:rPr>
        <w:t>Cohen, 1988, 1992)</w:t>
      </w:r>
      <w:r w:rsidR="001A0ACA" w:rsidRPr="00806BB7">
        <w:rPr>
          <w:rFonts w:cs="Times New Roman"/>
          <w:szCs w:val="24"/>
        </w:rPr>
        <w:fldChar w:fldCharType="end"/>
      </w:r>
      <w:r w:rsidRPr="00806BB7">
        <w:rPr>
          <w:rFonts w:cs="Times New Roman"/>
          <w:szCs w:val="24"/>
        </w:rPr>
        <w:t xml:space="preserve"> . We elected for the use of Hedge’s </w:t>
      </w:r>
      <w:r w:rsidRPr="00806BB7">
        <w:rPr>
          <w:rFonts w:cs="Times New Roman"/>
          <w:i/>
          <w:szCs w:val="24"/>
        </w:rPr>
        <w:t>g</w:t>
      </w:r>
      <w:r w:rsidRPr="00806BB7">
        <w:rPr>
          <w:rFonts w:cs="Times New Roman"/>
          <w:szCs w:val="24"/>
        </w:rPr>
        <w:t xml:space="preserve"> as it provides a more conservative effect-size estimate in small sample sizes </w:t>
      </w:r>
      <w:r w:rsidR="001A0ACA" w:rsidRPr="00806BB7">
        <w:rPr>
          <w:rFonts w:cs="Times New Roman"/>
          <w:szCs w:val="24"/>
        </w:rPr>
        <w:fldChar w:fldCharType="begin"/>
      </w:r>
      <w:r w:rsidR="00095E48" w:rsidRPr="00806BB7">
        <w:rPr>
          <w:rFonts w:cs="Times New Roman"/>
          <w:szCs w:val="24"/>
        </w:rPr>
        <w:instrText xml:space="preserve"> ADDIN ZOTERO_ITEM CSL_CITATION {"citationID":"emzq8LoX","properties":{"formattedCitation":"(Hedges &amp; Olkin, 1985)","plainCitation":"(Hedges &amp; Olkin, 1985)","noteIndex":0},"citationItems":[{"id":362,"uris":["http://zotero.org/users/6317667/items/AH6Y9M8J"],"uri":["http://zotero.org/users/6317667/items/AH6Y9M8J"],"itemData":{"id":362,"type":"chapter","container-title":"Stat Med","note":"journalAbbreviation: Stat Med\nDOI: 10.2307/1164953","source":"ResearchGate","title":"Statistical Methods in Meta-Analysis","volume":"20","author":[{"family":"Hedges","given":"Larry"},{"family":"Olkin","given":"Ingram"}],"issued":{"date-parts":[["1985",1,1]]}}}],"schema":"https://github.com/citation-style-language/schema/raw/master/csl-citation.json"} </w:instrText>
      </w:r>
      <w:r w:rsidR="001A0ACA" w:rsidRPr="00806BB7">
        <w:rPr>
          <w:rFonts w:cs="Times New Roman"/>
          <w:szCs w:val="24"/>
        </w:rPr>
        <w:fldChar w:fldCharType="separate"/>
      </w:r>
      <w:r w:rsidR="001A0ACA" w:rsidRPr="00806BB7">
        <w:rPr>
          <w:rFonts w:cs="Times New Roman"/>
          <w:szCs w:val="24"/>
        </w:rPr>
        <w:t>(Hedges &amp; Olkin, 1985)</w:t>
      </w:r>
      <w:r w:rsidR="001A0ACA" w:rsidRPr="00806BB7">
        <w:rPr>
          <w:rFonts w:cs="Times New Roman"/>
          <w:szCs w:val="24"/>
        </w:rPr>
        <w:fldChar w:fldCharType="end"/>
      </w:r>
      <w:r w:rsidRPr="00806BB7">
        <w:rPr>
          <w:rFonts w:cs="Times New Roman"/>
          <w:szCs w:val="24"/>
        </w:rPr>
        <w:t xml:space="preserve">. We used a random-effects model for our meta-analysis. We selected this model for two reasons: the substantial variability between populations sampled, and for the relatively small number of studies included in our analysis </w:t>
      </w:r>
      <w:r w:rsidR="001A0ACA" w:rsidRPr="00806BB7">
        <w:rPr>
          <w:rFonts w:cs="Times New Roman"/>
          <w:szCs w:val="24"/>
        </w:rPr>
        <w:fldChar w:fldCharType="begin"/>
      </w:r>
      <w:r w:rsidR="00095E48" w:rsidRPr="00806BB7">
        <w:rPr>
          <w:rFonts w:cs="Times New Roman"/>
          <w:szCs w:val="24"/>
        </w:rPr>
        <w:instrText xml:space="preserve"> ADDIN ZOTERO_ITEM CSL_CITATION {"citationID":"kkPp5O5K","properties":{"formattedCitation":"(Schwarzer et al., 2015)","plainCitation":"(Schwarzer et al., 2015)","noteIndex":0},"citationItems":[{"id":21,"uris":["http://zotero.org/users/6317667/items/UYTY3YKV"],"uri":["http://zotero.org/users/6317667/items/UYTY3YKV"],"itemData":{"id":21,"type":"chapter","abstract":"In this chapter we describe the two main methods of meta-analysis, fixed effect model and random effects model, and how to perform the analysis in R. For both models the inverse variance method is introduced for estimation. The pros and cons of these methods in various contexts have been debated at length in the literature [9, 28, 29, 41], without any conclusive resolution. Here, we briefly describe each model, and how it is estimated in the R package meta [33, 34].","collection-title":"Use R!","container-title":"Meta-Analysis with R","event-place":"Cham","ISBN":"978-3-319-21416-0","language":"en","note":"DOI: 10.1007/978-3-319-21416-0_2","page":"21-53","publisher":"Springer International Publishing","publisher-place":"Cham","source":"Springer Link","title":"Fixed Effect and Random Effects Meta-Analysis","URL":"https://doi.org/10.1007/978-3-319-21416-0_2","author":[{"family":"Schwarzer","given":"Guido"},{"family":"Carpenter","given":"James R."},{"family":"Rücker","given":"Gerta"}],"editor":[{"family":"Schwarzer","given":"Guido"},{"family":"Carpenter","given":"James R."},{"family":"Rücker","given":"Gerta"}],"accessed":{"date-parts":[["2020",2,14]]},"issued":{"date-parts":[["2015"]]}}}],"schema":"https://github.com/citation-style-language/schema/raw/master/csl-citation.json"} </w:instrText>
      </w:r>
      <w:r w:rsidR="001A0ACA" w:rsidRPr="00806BB7">
        <w:rPr>
          <w:rFonts w:cs="Times New Roman"/>
          <w:szCs w:val="24"/>
        </w:rPr>
        <w:fldChar w:fldCharType="separate"/>
      </w:r>
      <w:r w:rsidR="001A0ACA" w:rsidRPr="00806BB7">
        <w:rPr>
          <w:rFonts w:cs="Times New Roman"/>
          <w:szCs w:val="24"/>
        </w:rPr>
        <w:t>(Schwarzer et al., 2015)</w:t>
      </w:r>
      <w:r w:rsidR="001A0ACA" w:rsidRPr="00806BB7">
        <w:rPr>
          <w:rFonts w:cs="Times New Roman"/>
          <w:szCs w:val="24"/>
        </w:rPr>
        <w:fldChar w:fldCharType="end"/>
      </w:r>
      <w:r w:rsidRPr="00806BB7">
        <w:rPr>
          <w:rFonts w:cs="Times New Roman"/>
          <w:szCs w:val="24"/>
        </w:rPr>
        <w:t>. Further, and in respect to the latter point, we applied the Sidik-Jonkman method with a Hartung-Knapp adjustment to decrease th</w:t>
      </w:r>
      <w:r w:rsidR="001A0ACA" w:rsidRPr="00806BB7">
        <w:rPr>
          <w:rFonts w:cs="Times New Roman"/>
          <w:szCs w:val="24"/>
        </w:rPr>
        <w:t xml:space="preserve">e possibility of Type 1 errors </w:t>
      </w:r>
      <w:r w:rsidR="001A0ACA" w:rsidRPr="00806BB7">
        <w:rPr>
          <w:rFonts w:cs="Times New Roman"/>
          <w:color w:val="000000"/>
          <w:szCs w:val="24"/>
        </w:rPr>
        <w:fldChar w:fldCharType="begin"/>
      </w:r>
      <w:r w:rsidR="00095E48" w:rsidRPr="00806BB7">
        <w:rPr>
          <w:rFonts w:cs="Times New Roman"/>
          <w:color w:val="000000"/>
          <w:szCs w:val="24"/>
        </w:rPr>
        <w:instrText xml:space="preserve"> ADDIN ZOTERO_ITEM CSL_CITATION {"citationID":"C7SwOPRM","properties":{"formattedCitation":"(R\\uc0\\u246{}ver et al., 2015)","plainCitation":"(Röver et al., 2015)","noteIndex":0},"citationItems":[{"id":361,"uris":["http://zotero.org/users/6317667/items/A57ZA9W5"],"uri":["http://zotero.org/users/6317667/items/A57ZA9W5"],"itemData":{"id":361,"type":"article-journal","abstract":"Random-effects meta-analysis is commonly performed by first deriving an estimate of the between-study variation, the heterogeneity, and subsequently using this as the basis for combining results, i.e., for estimating the effect, the figure of primary interest. The heterogeneity variance estimate however is commonly associated with substantial uncertainty, especially in contexts where there are only few studies available, such as in small populations and rare diseases.","container-title":"BMC Medical Research Methodology","DOI":"10.1186/s12874-015-0091-1","ISSN":"1471-2288","issue":"1","journalAbbreviation":"BMC Medical Research Methodology","page":"99","source":"BioMed Central","title":"Hartung-Knapp-Sidik-Jonkman approach and its modification for random-effects meta-analysis with few studies","volume":"15","author":[{"family":"Röver","given":"Christian"},{"family":"Knapp","given":"Guido"},{"family":"Friede","given":"Tim"}],"issued":{"date-parts":[["2015",11,14]]}}}],"schema":"https://github.com/citation-style-language/schema/raw/master/csl-citation.json"} </w:instrText>
      </w:r>
      <w:r w:rsidR="001A0ACA" w:rsidRPr="00806BB7">
        <w:rPr>
          <w:rFonts w:cs="Times New Roman"/>
          <w:color w:val="000000"/>
          <w:szCs w:val="24"/>
        </w:rPr>
        <w:fldChar w:fldCharType="separate"/>
      </w:r>
      <w:r w:rsidR="001A0ACA" w:rsidRPr="00806BB7">
        <w:rPr>
          <w:rFonts w:cs="Times New Roman"/>
          <w:szCs w:val="24"/>
        </w:rPr>
        <w:t>(Röver et al., 2015)</w:t>
      </w:r>
      <w:r w:rsidR="001A0ACA" w:rsidRPr="00806BB7">
        <w:rPr>
          <w:rFonts w:cs="Times New Roman"/>
          <w:color w:val="000000"/>
          <w:szCs w:val="24"/>
        </w:rPr>
        <w:fldChar w:fldCharType="end"/>
      </w:r>
      <w:r w:rsidRPr="00806BB7">
        <w:rPr>
          <w:rFonts w:cs="Times New Roman"/>
          <w:color w:val="000000"/>
          <w:szCs w:val="24"/>
        </w:rPr>
        <w:t>.</w:t>
      </w:r>
      <w:r w:rsidRPr="00806BB7">
        <w:rPr>
          <w:rFonts w:cs="Times New Roman"/>
          <w:szCs w:val="24"/>
        </w:rPr>
        <w:t xml:space="preserve"> A test of heterogeneity was also performed in</w:t>
      </w:r>
      <w:r w:rsidR="00307BDB" w:rsidRPr="00806BB7">
        <w:rPr>
          <w:rFonts w:cs="Times New Roman"/>
          <w:szCs w:val="24"/>
        </w:rPr>
        <w:t xml:space="preserve"> which we</w:t>
      </w:r>
      <w:r w:rsidRPr="00806BB7">
        <w:rPr>
          <w:rFonts w:cs="Times New Roman"/>
          <w:szCs w:val="24"/>
        </w:rPr>
        <w:t xml:space="preserve"> </w:t>
      </w:r>
      <w:r w:rsidR="00CD0BEA" w:rsidRPr="00806BB7">
        <w:rPr>
          <w:rFonts w:cs="Times New Roman"/>
          <w:szCs w:val="24"/>
        </w:rPr>
        <w:t>quantified heterogeneity using</w:t>
      </w:r>
      <w:r w:rsidRPr="00806BB7">
        <w:rPr>
          <w:rFonts w:cs="Times New Roman"/>
          <w:szCs w:val="24"/>
        </w:rPr>
        <w:t xml:space="preserve"> </w:t>
      </w:r>
      <w:r w:rsidR="00CD0BEA" w:rsidRPr="00806BB7">
        <w:rPr>
          <w:rFonts w:cs="Times New Roman"/>
          <w:i/>
          <w:szCs w:val="24"/>
        </w:rPr>
        <w:t>T</w:t>
      </w:r>
      <w:r w:rsidRPr="00806BB7">
        <w:rPr>
          <w:rFonts w:cs="Times New Roman"/>
          <w:szCs w:val="24"/>
        </w:rPr>
        <w:t xml:space="preserve">, </w:t>
      </w:r>
      <w:r w:rsidR="00CD0BEA" w:rsidRPr="00806BB7">
        <w:rPr>
          <w:rFonts w:cs="Times New Roman"/>
          <w:i/>
          <w:szCs w:val="24"/>
        </w:rPr>
        <w:t>T</w:t>
      </w:r>
      <w:r w:rsidR="00CD0BEA" w:rsidRPr="00806BB7">
        <w:rPr>
          <w:rFonts w:cs="Times New Roman"/>
          <w:i/>
          <w:szCs w:val="24"/>
          <w:vertAlign w:val="superscript"/>
        </w:rPr>
        <w:t>2</w:t>
      </w:r>
      <w:r w:rsidRPr="00806BB7">
        <w:rPr>
          <w:rFonts w:cs="Times New Roman"/>
          <w:szCs w:val="24"/>
        </w:rPr>
        <w:t xml:space="preserve">, </w:t>
      </w:r>
      <w:r w:rsidR="00CD0BEA" w:rsidRPr="00806BB7">
        <w:rPr>
          <w:rFonts w:cs="Times New Roman"/>
          <w:i/>
          <w:szCs w:val="24"/>
        </w:rPr>
        <w:t>I</w:t>
      </w:r>
      <w:r w:rsidRPr="00806BB7">
        <w:rPr>
          <w:rFonts w:cs="Times New Roman"/>
          <w:i/>
          <w:szCs w:val="24"/>
          <w:vertAlign w:val="superscript"/>
        </w:rPr>
        <w:t>2</w:t>
      </w:r>
      <w:r w:rsidR="00AB7345" w:rsidRPr="00806BB7">
        <w:rPr>
          <w:rFonts w:cs="Times New Roman"/>
          <w:iCs/>
          <w:szCs w:val="24"/>
          <w:vertAlign w:val="superscript"/>
        </w:rPr>
        <w:t xml:space="preserve"> </w:t>
      </w:r>
      <w:r w:rsidR="00AB7345" w:rsidRPr="00806BB7">
        <w:rPr>
          <w:rFonts w:cs="Times New Roman"/>
          <w:szCs w:val="24"/>
        </w:rPr>
        <w:t>and the prediction interval (PI)</w:t>
      </w:r>
      <w:r w:rsidR="00CD0BEA" w:rsidRPr="00806BB7">
        <w:rPr>
          <w:rFonts w:cs="Times New Roman"/>
          <w:szCs w:val="24"/>
        </w:rPr>
        <w:t>:</w:t>
      </w:r>
      <w:r w:rsidRPr="00806BB7">
        <w:rPr>
          <w:rFonts w:cs="Times New Roman"/>
          <w:szCs w:val="24"/>
        </w:rPr>
        <w:t xml:space="preserve"> </w:t>
      </w:r>
      <w:r w:rsidR="00CD0BEA" w:rsidRPr="00806BB7">
        <w:rPr>
          <w:rFonts w:cs="Times New Roman"/>
          <w:i/>
          <w:szCs w:val="24"/>
        </w:rPr>
        <w:t>T</w:t>
      </w:r>
      <w:r w:rsidR="00CD0BEA" w:rsidRPr="00806BB7">
        <w:rPr>
          <w:rFonts w:cs="Times New Roman"/>
          <w:bCs/>
          <w:iCs/>
          <w:szCs w:val="24"/>
        </w:rPr>
        <w:t xml:space="preserve"> (Tau), the estimated standard deviation of true effects across studies; </w:t>
      </w:r>
      <w:r w:rsidR="00CD0BEA" w:rsidRPr="00806BB7">
        <w:rPr>
          <w:rFonts w:cs="Times New Roman"/>
          <w:i/>
          <w:szCs w:val="24"/>
        </w:rPr>
        <w:t>T</w:t>
      </w:r>
      <w:r w:rsidR="00CD0BEA" w:rsidRPr="00806BB7">
        <w:rPr>
          <w:rFonts w:cs="Times New Roman"/>
          <w:i/>
          <w:szCs w:val="24"/>
          <w:vertAlign w:val="superscript"/>
        </w:rPr>
        <w:t>2</w:t>
      </w:r>
      <w:r w:rsidR="00CD0BEA" w:rsidRPr="00806BB7">
        <w:rPr>
          <w:rFonts w:cs="Times New Roman"/>
          <w:bCs/>
          <w:iCs/>
          <w:szCs w:val="24"/>
        </w:rPr>
        <w:t xml:space="preserve"> (Tau-squared), the variance of the true effects across studies and </w:t>
      </w:r>
      <w:r w:rsidR="00CD0BEA" w:rsidRPr="00806BB7">
        <w:rPr>
          <w:rFonts w:cs="Times New Roman"/>
          <w:i/>
          <w:szCs w:val="24"/>
        </w:rPr>
        <w:t>I</w:t>
      </w:r>
      <w:r w:rsidR="00CD0BEA" w:rsidRPr="00806BB7">
        <w:rPr>
          <w:rFonts w:cs="Times New Roman"/>
          <w:i/>
          <w:szCs w:val="24"/>
          <w:vertAlign w:val="superscript"/>
        </w:rPr>
        <w:t>2</w:t>
      </w:r>
      <w:r w:rsidR="00CD0BEA" w:rsidRPr="00806BB7">
        <w:rPr>
          <w:rFonts w:cs="Times New Roman"/>
          <w:bCs/>
          <w:iCs/>
          <w:szCs w:val="24"/>
        </w:rPr>
        <w:t xml:space="preserve"> (I-squared), the percentage of the variability in effect estimates due to heterogeneity </w:t>
      </w:r>
      <w:r w:rsidR="00CD0BEA" w:rsidRPr="00806BB7">
        <w:rPr>
          <w:rFonts w:cs="Times New Roman"/>
          <w:bCs/>
          <w:iCs/>
          <w:szCs w:val="24"/>
        </w:rPr>
        <w:fldChar w:fldCharType="begin"/>
      </w:r>
      <w:r w:rsidR="00095E48" w:rsidRPr="00806BB7">
        <w:rPr>
          <w:rFonts w:cs="Times New Roman"/>
          <w:bCs/>
          <w:iCs/>
          <w:szCs w:val="24"/>
        </w:rPr>
        <w:instrText xml:space="preserve"> ADDIN ZOTERO_ITEM CSL_CITATION {"citationID":"mpDEO0pF","properties":{"formattedCitation":"(M Borenstein et al., 2009; Deeks et al., 2008)","plainCitation":"(M Borenstein et al., 2009; Deeks et al., 2008)","noteIndex":0},"citationItems":[{"id":353,"uris":["http://zotero.org/users/6317667/items/WDIP3T3P"],"uri":["http://zotero.org/users/6317667/items/WDIP3T3P"],"itemData":{"id":353,"type":"article-journal","container-title":"Introduction to meta-analysis. 1st ed. John Wiley and Sons","page":"365–70","title":"Reporting the results of a meta-analysis","author":[{"family":"Borenstein","given":"M"},{"family":"Hedges","given":"LV"},{"family":"Higgins","given":"JP"},{"family":"Rothstein","given":"HR"}],"issued":{"date-parts":[["2009"]]}}},{"id":354,"uris":["http://zotero.org/users/6317667/items/XC48HMTM"],"uri":["http://zotero.org/users/6317667/items/XC48HMTM"],"itemData":{"id":354,"type":"article-journal","container-title":"Cochrane handbook for systematic reviews of interventions version","title":"Analysing data and undertaking meta-analyses, Chapter 9","volume":"510","author":[{"family":"Deeks","given":"JJ"},{"family":"Higgins","given":"JPT"},{"family":"Altman","given":"DG"},{"literal":"others"}],"issued":{"date-parts":[["2008"]]}}}],"schema":"https://github.com/citation-style-language/schema/raw/master/csl-citation.json"} </w:instrText>
      </w:r>
      <w:r w:rsidR="00CD0BEA" w:rsidRPr="00806BB7">
        <w:rPr>
          <w:rFonts w:cs="Times New Roman"/>
          <w:bCs/>
          <w:iCs/>
          <w:szCs w:val="24"/>
        </w:rPr>
        <w:fldChar w:fldCharType="separate"/>
      </w:r>
      <w:r w:rsidR="00914587" w:rsidRPr="00806BB7">
        <w:rPr>
          <w:rFonts w:cs="Times New Roman"/>
          <w:szCs w:val="24"/>
        </w:rPr>
        <w:t>(M Borenstein et al., 2009; Deeks et al., 2008)</w:t>
      </w:r>
      <w:r w:rsidR="00CD0BEA" w:rsidRPr="00806BB7">
        <w:rPr>
          <w:rFonts w:cs="Times New Roman"/>
          <w:bCs/>
          <w:iCs/>
          <w:szCs w:val="24"/>
        </w:rPr>
        <w:fldChar w:fldCharType="end"/>
      </w:r>
      <w:r w:rsidR="00CD0BEA" w:rsidRPr="00806BB7">
        <w:rPr>
          <w:rFonts w:cs="Times New Roman"/>
          <w:bCs/>
          <w:iCs/>
          <w:szCs w:val="24"/>
        </w:rPr>
        <w:t>.</w:t>
      </w:r>
    </w:p>
    <w:p w14:paraId="23175976" w14:textId="413D4422" w:rsidR="003A2D0D" w:rsidRPr="00806BB7" w:rsidRDefault="003A2D0D" w:rsidP="003A2D0D">
      <w:pPr>
        <w:pStyle w:val="Heading1"/>
        <w:rPr>
          <w:szCs w:val="24"/>
        </w:rPr>
      </w:pPr>
      <w:bookmarkStart w:id="15" w:name="_Toc39065442"/>
      <w:r w:rsidRPr="00806BB7">
        <w:rPr>
          <w:szCs w:val="24"/>
        </w:rPr>
        <w:t>Results</w:t>
      </w:r>
      <w:bookmarkEnd w:id="15"/>
    </w:p>
    <w:p w14:paraId="51CFD3BD" w14:textId="4FADF8C0" w:rsidR="003A2D0D" w:rsidRPr="00806BB7" w:rsidRDefault="003A2D0D" w:rsidP="003A2D0D">
      <w:pPr>
        <w:pStyle w:val="Heading2"/>
        <w:rPr>
          <w:szCs w:val="24"/>
        </w:rPr>
      </w:pPr>
      <w:bookmarkStart w:id="16" w:name="_Toc39065443"/>
      <w:r w:rsidRPr="00806BB7">
        <w:rPr>
          <w:szCs w:val="24"/>
        </w:rPr>
        <w:t>Study Selection</w:t>
      </w:r>
      <w:bookmarkEnd w:id="16"/>
    </w:p>
    <w:p w14:paraId="2CFAEBA1" w14:textId="112651DA" w:rsidR="003A2D0D" w:rsidRPr="00806BB7" w:rsidRDefault="003A2D0D" w:rsidP="003A2D0D">
      <w:pPr>
        <w:contextualSpacing/>
        <w:rPr>
          <w:rFonts w:cs="Times New Roman"/>
          <w:bCs/>
          <w:szCs w:val="24"/>
        </w:rPr>
      </w:pPr>
      <w:r w:rsidRPr="00806BB7">
        <w:rPr>
          <w:rFonts w:cs="Times New Roman"/>
          <w:bCs/>
          <w:szCs w:val="24"/>
        </w:rPr>
        <w:t>Our initial search identified 1918 articles (</w:t>
      </w:r>
      <w:r w:rsidR="00C74CF4" w:rsidRPr="00806BB7">
        <w:rPr>
          <w:rFonts w:cs="Times New Roman"/>
          <w:bCs/>
          <w:szCs w:val="24"/>
        </w:rPr>
        <w:fldChar w:fldCharType="begin"/>
      </w:r>
      <w:r w:rsidR="00C74CF4" w:rsidRPr="00806BB7">
        <w:rPr>
          <w:rFonts w:cs="Times New Roman"/>
          <w:bCs/>
          <w:szCs w:val="24"/>
          <w:highlight w:val="yellow"/>
        </w:rPr>
        <w:instrText xml:space="preserve"> REF _Ref39230348 \h </w:instrText>
      </w:r>
      <w:r w:rsidR="00C74CF4" w:rsidRPr="00806BB7">
        <w:rPr>
          <w:rFonts w:cs="Times New Roman"/>
          <w:bCs/>
          <w:szCs w:val="24"/>
        </w:rPr>
        <w:instrText xml:space="preserve"> \* MERGEFORMAT </w:instrText>
      </w:r>
      <w:r w:rsidR="00C74CF4" w:rsidRPr="00806BB7">
        <w:rPr>
          <w:rFonts w:cs="Times New Roman"/>
          <w:bCs/>
          <w:szCs w:val="24"/>
        </w:rPr>
      </w:r>
      <w:r w:rsidR="00C74CF4" w:rsidRPr="00806BB7">
        <w:rPr>
          <w:rFonts w:cs="Times New Roman"/>
          <w:bCs/>
          <w:szCs w:val="24"/>
        </w:rPr>
        <w:fldChar w:fldCharType="separate"/>
      </w:r>
      <w:r w:rsidR="00C74CF4" w:rsidRPr="00806BB7">
        <w:rPr>
          <w:szCs w:val="24"/>
        </w:rPr>
        <w:t xml:space="preserve">Figure </w:t>
      </w:r>
      <w:r w:rsidR="00C74CF4" w:rsidRPr="00806BB7">
        <w:rPr>
          <w:noProof/>
          <w:szCs w:val="24"/>
        </w:rPr>
        <w:t>1</w:t>
      </w:r>
      <w:r w:rsidR="00C74CF4" w:rsidRPr="00806BB7">
        <w:rPr>
          <w:rFonts w:cs="Times New Roman"/>
          <w:bCs/>
          <w:szCs w:val="24"/>
        </w:rPr>
        <w:fldChar w:fldCharType="end"/>
      </w:r>
      <w:r w:rsidRPr="00806BB7">
        <w:rPr>
          <w:rFonts w:cs="Times New Roman"/>
          <w:bCs/>
          <w:szCs w:val="24"/>
        </w:rPr>
        <w:t xml:space="preserve">). After the removal of 573 duplicates, </w:t>
      </w:r>
      <w:r w:rsidR="005846DD" w:rsidRPr="00806BB7">
        <w:rPr>
          <w:rFonts w:cs="Times New Roman"/>
          <w:bCs/>
          <w:szCs w:val="24"/>
        </w:rPr>
        <w:t xml:space="preserve">the titles and abstracts of the remaining </w:t>
      </w:r>
      <w:r w:rsidRPr="00806BB7">
        <w:rPr>
          <w:rFonts w:cs="Times New Roman"/>
          <w:bCs/>
          <w:szCs w:val="24"/>
        </w:rPr>
        <w:t>1345 articles were screened</w:t>
      </w:r>
      <w:r w:rsidR="005846DD" w:rsidRPr="00806BB7">
        <w:rPr>
          <w:rFonts w:cs="Times New Roman"/>
          <w:bCs/>
          <w:szCs w:val="24"/>
        </w:rPr>
        <w:t xml:space="preserve">. This resulted in </w:t>
      </w:r>
      <w:r w:rsidRPr="00806BB7">
        <w:rPr>
          <w:rFonts w:cs="Times New Roman"/>
          <w:bCs/>
          <w:szCs w:val="24"/>
        </w:rPr>
        <w:t>195 articles</w:t>
      </w:r>
      <w:r w:rsidR="005846DD" w:rsidRPr="00806BB7">
        <w:rPr>
          <w:rFonts w:cs="Times New Roman"/>
          <w:bCs/>
          <w:szCs w:val="24"/>
        </w:rPr>
        <w:t xml:space="preserve"> that</w:t>
      </w:r>
      <w:r w:rsidRPr="00806BB7">
        <w:rPr>
          <w:rFonts w:cs="Times New Roman"/>
          <w:bCs/>
          <w:szCs w:val="24"/>
        </w:rPr>
        <w:t xml:space="preserve"> were deemed</w:t>
      </w:r>
      <w:r w:rsidR="002F04AA" w:rsidRPr="00806BB7">
        <w:rPr>
          <w:rFonts w:cs="Times New Roman"/>
          <w:bCs/>
          <w:szCs w:val="24"/>
        </w:rPr>
        <w:t xml:space="preserve"> potentially</w:t>
      </w:r>
      <w:r w:rsidRPr="00806BB7">
        <w:rPr>
          <w:rFonts w:cs="Times New Roman"/>
          <w:bCs/>
          <w:szCs w:val="24"/>
        </w:rPr>
        <w:t xml:space="preserve"> relevant to our review. Further screening</w:t>
      </w:r>
      <w:r w:rsidR="003633A9" w:rsidRPr="00806BB7">
        <w:rPr>
          <w:rFonts w:cs="Times New Roman"/>
          <w:bCs/>
          <w:szCs w:val="24"/>
        </w:rPr>
        <w:t xml:space="preserve"> (</w:t>
      </w:r>
      <w:r w:rsidR="00541B60" w:rsidRPr="00806BB7">
        <w:rPr>
          <w:rFonts w:cs="Times New Roman"/>
          <w:bCs/>
          <w:szCs w:val="24"/>
        </w:rPr>
        <w:t>S</w:t>
      </w:r>
      <w:r w:rsidR="003633A9" w:rsidRPr="00806BB7">
        <w:rPr>
          <w:rFonts w:cs="Times New Roman"/>
          <w:bCs/>
          <w:szCs w:val="24"/>
        </w:rPr>
        <w:t>tep 3)</w:t>
      </w:r>
      <w:r w:rsidRPr="00806BB7">
        <w:rPr>
          <w:rFonts w:cs="Times New Roman"/>
          <w:bCs/>
          <w:szCs w:val="24"/>
        </w:rPr>
        <w:t xml:space="preserve"> </w:t>
      </w:r>
      <w:r w:rsidR="00541B60" w:rsidRPr="00806BB7">
        <w:rPr>
          <w:rFonts w:cs="Times New Roman"/>
          <w:bCs/>
          <w:szCs w:val="24"/>
        </w:rPr>
        <w:lastRenderedPageBreak/>
        <w:t>led to</w:t>
      </w:r>
      <w:r w:rsidRPr="00806BB7">
        <w:rPr>
          <w:rFonts w:cs="Times New Roman"/>
          <w:bCs/>
          <w:szCs w:val="24"/>
        </w:rPr>
        <w:t xml:space="preserve"> the exc</w:t>
      </w:r>
      <w:r w:rsidR="003A4A8A" w:rsidRPr="00806BB7">
        <w:rPr>
          <w:rFonts w:cs="Times New Roman"/>
          <w:bCs/>
          <w:szCs w:val="24"/>
        </w:rPr>
        <w:t>lusion of another 187 articles leaving 8</w:t>
      </w:r>
      <w:r w:rsidR="007141F2" w:rsidRPr="00806BB7">
        <w:rPr>
          <w:rFonts w:cs="Times New Roman"/>
          <w:bCs/>
          <w:szCs w:val="24"/>
        </w:rPr>
        <w:t xml:space="preserve"> articles of </w:t>
      </w:r>
      <w:r w:rsidR="003A4A8A" w:rsidRPr="00806BB7">
        <w:rPr>
          <w:rFonts w:cs="Times New Roman"/>
          <w:bCs/>
          <w:szCs w:val="24"/>
        </w:rPr>
        <w:t>to be reviewed in their entirety</w:t>
      </w:r>
      <w:r w:rsidR="007141F2" w:rsidRPr="00806BB7">
        <w:rPr>
          <w:rFonts w:cs="Times New Roman"/>
          <w:bCs/>
          <w:szCs w:val="24"/>
        </w:rPr>
        <w:t xml:space="preserve">. </w:t>
      </w:r>
      <w:r w:rsidRPr="00806BB7">
        <w:rPr>
          <w:rFonts w:cs="Times New Roman"/>
          <w:bCs/>
          <w:szCs w:val="24"/>
        </w:rPr>
        <w:t>Discrepancies between these selections were discussed</w:t>
      </w:r>
      <w:r w:rsidR="00363935" w:rsidRPr="00806BB7">
        <w:rPr>
          <w:rFonts w:cs="Times New Roman"/>
          <w:bCs/>
          <w:szCs w:val="24"/>
        </w:rPr>
        <w:t xml:space="preserve"> (</w:t>
      </w:r>
      <w:r w:rsidR="00541B60" w:rsidRPr="00806BB7">
        <w:rPr>
          <w:rFonts w:cs="Times New Roman"/>
          <w:bCs/>
          <w:szCs w:val="24"/>
        </w:rPr>
        <w:t>S</w:t>
      </w:r>
      <w:r w:rsidR="00363935" w:rsidRPr="00806BB7">
        <w:rPr>
          <w:rFonts w:cs="Times New Roman"/>
          <w:bCs/>
          <w:szCs w:val="24"/>
        </w:rPr>
        <w:t>tep 5)</w:t>
      </w:r>
      <w:r w:rsidR="007141F2" w:rsidRPr="00806BB7">
        <w:rPr>
          <w:rFonts w:cs="Times New Roman"/>
          <w:bCs/>
          <w:szCs w:val="24"/>
        </w:rPr>
        <w:t xml:space="preserve"> and an additional </w:t>
      </w:r>
      <w:r w:rsidR="003A4A8A" w:rsidRPr="00806BB7">
        <w:rPr>
          <w:rFonts w:cs="Times New Roman"/>
          <w:bCs/>
          <w:szCs w:val="24"/>
        </w:rPr>
        <w:t>2</w:t>
      </w:r>
      <w:r w:rsidR="007141F2" w:rsidRPr="00806BB7">
        <w:rPr>
          <w:rFonts w:cs="Times New Roman"/>
          <w:bCs/>
          <w:szCs w:val="24"/>
        </w:rPr>
        <w:t xml:space="preserve"> articles were excluded</w:t>
      </w:r>
      <w:r w:rsidR="00EA57B2">
        <w:rPr>
          <w:rFonts w:cs="Times New Roman"/>
          <w:bCs/>
          <w:szCs w:val="24"/>
        </w:rPr>
        <w:t xml:space="preserve">, </w:t>
      </w:r>
      <w:r w:rsidRPr="00806BB7">
        <w:rPr>
          <w:rFonts w:cs="Times New Roman"/>
          <w:bCs/>
          <w:szCs w:val="24"/>
        </w:rPr>
        <w:t>leaving a total of 6 articles.</w:t>
      </w:r>
    </w:p>
    <w:p w14:paraId="4CC7B494" w14:textId="2E582ECD" w:rsidR="003A2D0D" w:rsidRPr="00806BB7" w:rsidRDefault="003A2D0D" w:rsidP="003A2D0D">
      <w:pPr>
        <w:pStyle w:val="Heading2"/>
        <w:rPr>
          <w:szCs w:val="24"/>
        </w:rPr>
      </w:pPr>
      <w:bookmarkStart w:id="17" w:name="_Toc39065444"/>
      <w:r w:rsidRPr="00806BB7">
        <w:rPr>
          <w:szCs w:val="24"/>
        </w:rPr>
        <w:t>Risk of Bias within Studies</w:t>
      </w:r>
      <w:bookmarkEnd w:id="17"/>
    </w:p>
    <w:p w14:paraId="34E5913A" w14:textId="0D4AACEE" w:rsidR="00A84346" w:rsidRPr="00806BB7" w:rsidRDefault="003A2D0D" w:rsidP="00A84346">
      <w:pPr>
        <w:contextualSpacing/>
        <w:rPr>
          <w:rFonts w:cs="Times New Roman"/>
          <w:bCs/>
          <w:iCs/>
          <w:szCs w:val="24"/>
        </w:rPr>
      </w:pPr>
      <w:r w:rsidRPr="00806BB7">
        <w:rPr>
          <w:rFonts w:cs="Times New Roman"/>
          <w:bCs/>
          <w:iCs/>
          <w:szCs w:val="24"/>
        </w:rPr>
        <w:t>A total of 8</w:t>
      </w:r>
      <w:r w:rsidR="00ED4D95" w:rsidRPr="00806BB7">
        <w:rPr>
          <w:rFonts w:cs="Times New Roman"/>
          <w:bCs/>
          <w:iCs/>
          <w:szCs w:val="24"/>
        </w:rPr>
        <w:t>6</w:t>
      </w:r>
      <w:r w:rsidRPr="00806BB7">
        <w:rPr>
          <w:rFonts w:cs="Times New Roman"/>
          <w:bCs/>
          <w:iCs/>
          <w:szCs w:val="24"/>
        </w:rPr>
        <w:t xml:space="preserve"> points were awarded (see</w:t>
      </w:r>
      <w:r w:rsidR="005E0893" w:rsidRPr="00806BB7">
        <w:rPr>
          <w:rFonts w:cs="Times New Roman"/>
          <w:bCs/>
          <w:iCs/>
          <w:szCs w:val="24"/>
        </w:rPr>
        <w:t xml:space="preserve"> </w:t>
      </w:r>
      <w:r w:rsidR="00F8700E">
        <w:rPr>
          <w:rFonts w:cs="Times New Roman"/>
          <w:bCs/>
          <w:iCs/>
          <w:szCs w:val="24"/>
        </w:rPr>
        <w:t>Table 1</w:t>
      </w:r>
      <w:r w:rsidRPr="00806BB7">
        <w:rPr>
          <w:rFonts w:cs="Times New Roman"/>
          <w:bCs/>
          <w:iCs/>
          <w:szCs w:val="24"/>
        </w:rPr>
        <w:t xml:space="preserve">). Of those studies, four out of six were evaluated as medium quality. The remaining two papers </w:t>
      </w:r>
      <w:r w:rsidR="007141F2" w:rsidRPr="00806BB7">
        <w:rPr>
          <w:rFonts w:cs="Times New Roman"/>
          <w:bCs/>
          <w:iCs/>
          <w:szCs w:val="24"/>
        </w:rPr>
        <w:t>were evaluated as high quality.</w:t>
      </w:r>
    </w:p>
    <w:p w14:paraId="66E6E3E8" w14:textId="5408C6DB" w:rsidR="00AA09B9" w:rsidRPr="00806BB7" w:rsidRDefault="00AA09B9" w:rsidP="00A84346">
      <w:pPr>
        <w:contextualSpacing/>
        <w:rPr>
          <w:rFonts w:cs="Times New Roman"/>
          <w:bCs/>
          <w:iCs/>
          <w:szCs w:val="24"/>
        </w:rPr>
      </w:pPr>
    </w:p>
    <w:p w14:paraId="6FC1A934" w14:textId="77777777" w:rsidR="00AA09B9" w:rsidRPr="00806BB7" w:rsidRDefault="00AA09B9" w:rsidP="00A84346">
      <w:pPr>
        <w:contextualSpacing/>
        <w:rPr>
          <w:rFonts w:cs="Times New Roman"/>
          <w:bCs/>
          <w:iCs/>
          <w:szCs w:val="24"/>
        </w:rPr>
        <w:sectPr w:rsidR="00AA09B9" w:rsidRPr="00806BB7" w:rsidSect="009A70AE">
          <w:headerReference w:type="default" r:id="rId8"/>
          <w:headerReference w:type="first" r:id="rId9"/>
          <w:pgSz w:w="11906" w:h="16838"/>
          <w:pgMar w:top="1440" w:right="1440" w:bottom="1440" w:left="1440" w:header="708" w:footer="708" w:gutter="0"/>
          <w:lnNumType w:countBy="1" w:restart="continuous"/>
          <w:pgNumType w:start="1"/>
          <w:cols w:space="708"/>
          <w:docGrid w:linePitch="360"/>
        </w:sectPr>
      </w:pPr>
    </w:p>
    <w:bookmarkStart w:id="18" w:name="_Toc39065445"/>
    <w:p w14:paraId="78F2707A" w14:textId="0A1480D5" w:rsidR="00670809" w:rsidRPr="00806BB7" w:rsidRDefault="00F41E63" w:rsidP="00670809">
      <w:pPr>
        <w:pStyle w:val="Tables"/>
        <w:rPr>
          <w:sz w:val="24"/>
          <w:szCs w:val="24"/>
        </w:rPr>
      </w:pPr>
      <w:r>
        <w:rPr>
          <w:sz w:val="24"/>
          <w:szCs w:val="24"/>
          <w:lang w:val="en-AU"/>
        </w:rPr>
        <w:lastRenderedPageBreak/>
        <mc:AlternateContent>
          <mc:Choice Requires="wpg">
            <w:drawing>
              <wp:anchor distT="0" distB="0" distL="114300" distR="114300" simplePos="0" relativeHeight="251697152" behindDoc="0" locked="0" layoutInCell="1" allowOverlap="1" wp14:anchorId="4F9F315C" wp14:editId="017C199B">
                <wp:simplePos x="0" y="0"/>
                <wp:positionH relativeFrom="column">
                  <wp:posOffset>219075</wp:posOffset>
                </wp:positionH>
                <wp:positionV relativeFrom="paragraph">
                  <wp:posOffset>85725</wp:posOffset>
                </wp:positionV>
                <wp:extent cx="5010150" cy="873442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010150" cy="8734425"/>
                          <a:chOff x="0" y="0"/>
                          <a:chExt cx="5421464" cy="9197009"/>
                        </a:xfrm>
                      </wpg:grpSpPr>
                      <wps:wsp>
                        <wps:cNvPr id="1" name="Rounded Rectangle 1"/>
                        <wps:cNvSpPr/>
                        <wps:spPr>
                          <a:xfrm>
                            <a:off x="0" y="0"/>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0748F3" w14:textId="5BCCF3F0" w:rsidR="00F60D59" w:rsidRDefault="00F60D59" w:rsidP="00670809">
                              <w:pPr>
                                <w:pStyle w:val="Tables"/>
                                <w:jc w:val="center"/>
                                <w:rPr>
                                  <w:lang w:val="en-AU"/>
                                </w:rPr>
                              </w:pPr>
                              <w:r>
                                <w:rPr>
                                  <w:lang w:val="en-AU"/>
                                </w:rPr>
                                <w:t xml:space="preserve">Records identified through database search </w:t>
                              </w:r>
                            </w:p>
                            <w:p w14:paraId="60B72836" w14:textId="3AC2DD85" w:rsidR="00F60D59" w:rsidRPr="00670809" w:rsidRDefault="00F60D59" w:rsidP="00670809">
                              <w:pPr>
                                <w:pStyle w:val="Tables"/>
                                <w:jc w:val="center"/>
                              </w:pPr>
                              <w:r>
                                <w:t>(n = 1918)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095375" y="1438275"/>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AAD8D9" w14:textId="4AADAF50" w:rsidR="00F60D59" w:rsidRDefault="00F60D59" w:rsidP="00670809">
                              <w:pPr>
                                <w:pStyle w:val="Tables"/>
                                <w:jc w:val="center"/>
                              </w:pPr>
                              <w:r>
                                <w:t>Records after duplicates removed</w:t>
                              </w:r>
                            </w:p>
                            <w:p w14:paraId="042B663C" w14:textId="611A7FA8" w:rsidR="00F60D59" w:rsidRPr="00670809" w:rsidRDefault="00F60D59" w:rsidP="00670809">
                              <w:pPr>
                                <w:pStyle w:val="Tables"/>
                                <w:jc w:val="center"/>
                              </w:pPr>
                              <w:r>
                                <w:t>(n = 1345)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190750" y="0"/>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C12DED" w14:textId="6B5BFA78" w:rsidR="00F60D59" w:rsidRDefault="00F60D59" w:rsidP="00670809">
                              <w:pPr>
                                <w:pStyle w:val="Tables"/>
                                <w:jc w:val="center"/>
                                <w:rPr>
                                  <w:lang w:val="en-AU"/>
                                </w:rPr>
                              </w:pPr>
                              <w:r>
                                <w:rPr>
                                  <w:lang w:val="en-AU"/>
                                </w:rPr>
                                <w:t>Additional records identified through other sources</w:t>
                              </w:r>
                            </w:p>
                            <w:p w14:paraId="42A4CB79" w14:textId="55AED803" w:rsidR="00F60D59" w:rsidRPr="00670809" w:rsidRDefault="00F60D59" w:rsidP="00670809">
                              <w:pPr>
                                <w:pStyle w:val="Tables"/>
                                <w:jc w:val="center"/>
                              </w:pPr>
                              <w: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104900" y="3028950"/>
                            <a:ext cx="1915795" cy="922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51FE2E" w14:textId="77777777" w:rsidR="00F60D59" w:rsidRDefault="00F60D59" w:rsidP="00692680">
                              <w:pPr>
                                <w:pStyle w:val="Tables"/>
                                <w:jc w:val="center"/>
                              </w:pPr>
                              <w:r>
                                <w:t>Records screen</w:t>
                              </w:r>
                            </w:p>
                            <w:p w14:paraId="3293B7A3" w14:textId="6F6129EE" w:rsidR="00F60D59" w:rsidRDefault="00F60D59" w:rsidP="00692680">
                              <w:pPr>
                                <w:pStyle w:val="Tables"/>
                                <w:jc w:val="center"/>
                              </w:pPr>
                              <w:r>
                                <w:t>(n = 1345)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104900" y="4686300"/>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16489" w14:textId="29CD7CDB" w:rsidR="00F60D59" w:rsidRDefault="00F60D59" w:rsidP="00692680">
                              <w:pPr>
                                <w:pStyle w:val="Tables"/>
                                <w:jc w:val="center"/>
                              </w:pPr>
                              <w:r>
                                <w:t>Records evaluated by both authors</w:t>
                              </w:r>
                            </w:p>
                            <w:p w14:paraId="6FC9DBBF" w14:textId="127D848F" w:rsidR="00F60D59" w:rsidRDefault="00F60D59" w:rsidP="00692680">
                              <w:pPr>
                                <w:pStyle w:val="Tables"/>
                                <w:jc w:val="center"/>
                              </w:pPr>
                              <w:r>
                                <w:t>(n = 195)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3505200" y="3038475"/>
                            <a:ext cx="1915795" cy="922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3A7D9F" w14:textId="77777777" w:rsidR="00F60D59" w:rsidRDefault="00F60D59" w:rsidP="00692680">
                              <w:pPr>
                                <w:pStyle w:val="Tables"/>
                                <w:jc w:val="center"/>
                              </w:pPr>
                              <w:r>
                                <w:t>Records excluded</w:t>
                              </w:r>
                            </w:p>
                            <w:p w14:paraId="79428870" w14:textId="3A398BEC" w:rsidR="00F60D59" w:rsidRDefault="00F60D59" w:rsidP="00692680">
                              <w:pPr>
                                <w:pStyle w:val="Tables"/>
                                <w:jc w:val="center"/>
                              </w:pPr>
                              <w:r>
                                <w:t>(n = 1150)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505200" y="4686300"/>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B1A6DE" w14:textId="77777777" w:rsidR="00F60D59" w:rsidRDefault="00F60D59" w:rsidP="00692680">
                              <w:pPr>
                                <w:pStyle w:val="Tables"/>
                                <w:jc w:val="center"/>
                              </w:pPr>
                              <w:r>
                                <w:t>Records excluded</w:t>
                              </w:r>
                            </w:p>
                            <w:p w14:paraId="04C4E0CB" w14:textId="73C741CE" w:rsidR="00F60D59" w:rsidRDefault="00F60D59" w:rsidP="00692680">
                              <w:pPr>
                                <w:pStyle w:val="Tables"/>
                                <w:jc w:val="center"/>
                              </w:pPr>
                              <w:r>
                                <w:t>(n = 187)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104900" y="6296025"/>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FF31C5" w14:textId="6F5E5AA3" w:rsidR="00F60D59" w:rsidRDefault="00F60D59" w:rsidP="00692680">
                              <w:pPr>
                                <w:pStyle w:val="Tables"/>
                                <w:jc w:val="center"/>
                              </w:pPr>
                              <w:r>
                                <w:t>Full-text articles assessed for elgibility</w:t>
                              </w:r>
                            </w:p>
                            <w:p w14:paraId="57179394" w14:textId="4E0E9889" w:rsidR="00F60D59" w:rsidRPr="00692680" w:rsidRDefault="00F60D59" w:rsidP="00692680">
                              <w:pPr>
                                <w:pStyle w:val="Tables"/>
                                <w:jc w:val="center"/>
                              </w:pPr>
                              <w:r>
                                <w:t>(n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3505200" y="6296025"/>
                            <a:ext cx="1916264" cy="9223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1D907B" w14:textId="348E36C1" w:rsidR="00F60D59" w:rsidRDefault="00F60D59" w:rsidP="00692680">
                              <w:pPr>
                                <w:pStyle w:val="Tables"/>
                                <w:jc w:val="center"/>
                              </w:pPr>
                              <w:r>
                                <w:t>Full-text articles excluded and rationale reported</w:t>
                              </w:r>
                            </w:p>
                            <w:p w14:paraId="163CB3E0" w14:textId="4B295460" w:rsidR="00F60D59" w:rsidRPr="00692680" w:rsidRDefault="00F60D59" w:rsidP="00692680">
                              <w:pPr>
                                <w:pStyle w:val="Tables"/>
                                <w:jc w:val="center"/>
                              </w:pPr>
                              <w:r>
                                <w:t>(n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104900" y="7924800"/>
                            <a:ext cx="1916264" cy="12722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C25E26" w14:textId="27BAD57E" w:rsidR="00F60D59" w:rsidRPr="00574F96" w:rsidRDefault="00F60D59" w:rsidP="00692680">
                              <w:pPr>
                                <w:pStyle w:val="Tables"/>
                                <w:jc w:val="center"/>
                                <w:rPr>
                                  <w:sz w:val="18"/>
                                  <w:szCs w:val="18"/>
                                </w:rPr>
                              </w:pPr>
                              <w:r w:rsidRPr="00574F96">
                                <w:rPr>
                                  <w:sz w:val="18"/>
                                  <w:szCs w:val="18"/>
                                </w:rPr>
                                <w:t>Studies included in qualitative synthesis</w:t>
                              </w:r>
                            </w:p>
                            <w:p w14:paraId="184C8847" w14:textId="65445FCE" w:rsidR="00F60D59" w:rsidRPr="00574F96" w:rsidRDefault="00F60D59" w:rsidP="00574F96">
                              <w:pPr>
                                <w:pStyle w:val="Tables"/>
                                <w:jc w:val="center"/>
                                <w:rPr>
                                  <w:sz w:val="18"/>
                                  <w:szCs w:val="18"/>
                                </w:rPr>
                              </w:pPr>
                              <w:r w:rsidRPr="00574F96">
                                <w:rPr>
                                  <w:sz w:val="18"/>
                                  <w:szCs w:val="18"/>
                                </w:rPr>
                                <w:t>(n = 6)</w:t>
                              </w:r>
                            </w:p>
                            <w:p w14:paraId="6AA4A619" w14:textId="47D96AD9" w:rsidR="00F60D59" w:rsidRPr="00574F96" w:rsidRDefault="00F60D59" w:rsidP="00CD7E60">
                              <w:pPr>
                                <w:pStyle w:val="Tables"/>
                                <w:jc w:val="center"/>
                                <w:rPr>
                                  <w:sz w:val="18"/>
                                  <w:szCs w:val="18"/>
                                </w:rPr>
                              </w:pPr>
                              <w:r w:rsidRPr="00574F96">
                                <w:rPr>
                                  <w:sz w:val="18"/>
                                  <w:szCs w:val="18"/>
                                </w:rPr>
                                <w:t>Studies included in quantitative synthesis</w:t>
                              </w:r>
                            </w:p>
                            <w:p w14:paraId="7AE4DFFE" w14:textId="0329F702" w:rsidR="00F60D59" w:rsidRPr="00574F96" w:rsidRDefault="00F60D59" w:rsidP="00CD7E60">
                              <w:pPr>
                                <w:pStyle w:val="Tables"/>
                                <w:jc w:val="center"/>
                                <w:rPr>
                                  <w:sz w:val="18"/>
                                  <w:szCs w:val="18"/>
                                </w:rPr>
                              </w:pPr>
                              <w:r w:rsidRPr="00574F96">
                                <w:rPr>
                                  <w:sz w:val="18"/>
                                  <w:szCs w:val="18"/>
                                </w:rPr>
                                <w:t>(n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bow Connector 17"/>
                        <wps:cNvCnPr/>
                        <wps:spPr>
                          <a:xfrm>
                            <a:off x="1390650" y="92392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Elbow Connector 18"/>
                        <wps:cNvCnPr/>
                        <wps:spPr>
                          <a:xfrm>
                            <a:off x="2733675" y="92392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Elbow Connector 19"/>
                        <wps:cNvCnPr/>
                        <wps:spPr>
                          <a:xfrm>
                            <a:off x="2066925" y="2571750"/>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Elbow Connector 20"/>
                        <wps:cNvCnPr/>
                        <wps:spPr>
                          <a:xfrm>
                            <a:off x="2085975" y="416242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Elbow Connector 21"/>
                        <wps:cNvCnPr/>
                        <wps:spPr>
                          <a:xfrm>
                            <a:off x="2085975" y="578167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Elbow Connector 22"/>
                        <wps:cNvCnPr/>
                        <wps:spPr>
                          <a:xfrm>
                            <a:off x="2095500" y="740092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Elbow Connector 23"/>
                        <wps:cNvCnPr/>
                        <wps:spPr>
                          <a:xfrm rot="16200000">
                            <a:off x="3190875" y="665797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Elbow Connector 24"/>
                        <wps:cNvCnPr/>
                        <wps:spPr>
                          <a:xfrm rot="16200000">
                            <a:off x="3200400" y="5029200"/>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Elbow Connector 25"/>
                        <wps:cNvCnPr/>
                        <wps:spPr>
                          <a:xfrm rot="16200000">
                            <a:off x="3209925" y="3362325"/>
                            <a:ext cx="7952" cy="36609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9F315C" id="Group 2" o:spid="_x0000_s1026" style="position:absolute;margin-left:17.25pt;margin-top:6.75pt;width:394.5pt;height:687.75pt;z-index:251697152;mso-width-relative:margin;mso-height-relative:margin" coordsize="54214,9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">
                <v:roundrect id="Rounded Rectangle 1" o:spid="_x0000_s1027" style="position:absolute;width:19162;height:9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" fillcolor="white [3201]" strokecolor="black [3213]" strokeweight="1pt">
                  <v:stroke joinstyle="miter"/>
                  <v:textbox>
                    <w:txbxContent>
                      <w:p w14:paraId="7D0748F3" w14:textId="5BCCF3F0" w:rsidR="00F60D59" w:rsidRDefault="00F60D59" w:rsidP="00670809">
                        <w:pPr>
                          <w:pStyle w:val="Tables"/>
                          <w:jc w:val="center"/>
                          <w:rPr>
                            <w:lang w:val="en-AU"/>
                          </w:rPr>
                        </w:pPr>
                        <w:r>
                          <w:rPr>
                            <w:lang w:val="en-AU"/>
                          </w:rPr>
                          <w:t xml:space="preserve">Records identified through database search </w:t>
                        </w:r>
                      </w:p>
                      <w:p w14:paraId="60B72836" w14:textId="3AC2DD85" w:rsidR="00F60D59" w:rsidRPr="00670809" w:rsidRDefault="00F60D59" w:rsidP="00670809">
                        <w:pPr>
                          <w:pStyle w:val="Tables"/>
                          <w:jc w:val="center"/>
                        </w:pPr>
                        <w:r>
                          <w:t>(n = 1918)</w:t>
                        </w:r>
                      </w:p>
                    </w:txbxContent>
                  </v:textbox>
                </v:roundrect>
                <v:roundrect id="Rounded Rectangle 6" o:spid="_x0000_s1028" style="position:absolute;left:10953;top:14382;width:19163;height:92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14:paraId="6CAAD8D9" w14:textId="4AADAF50" w:rsidR="00F60D59" w:rsidRDefault="00F60D59" w:rsidP="00670809">
                        <w:pPr>
                          <w:pStyle w:val="Tables"/>
                          <w:jc w:val="center"/>
                        </w:pPr>
                        <w:r>
                          <w:t>Records after duplicates removed</w:t>
                        </w:r>
                      </w:p>
                      <w:p w14:paraId="042B663C" w14:textId="611A7FA8" w:rsidR="00F60D59" w:rsidRPr="00670809" w:rsidRDefault="00F60D59" w:rsidP="00670809">
                        <w:pPr>
                          <w:pStyle w:val="Tables"/>
                          <w:jc w:val="center"/>
                        </w:pPr>
                        <w:r>
                          <w:t>(n = 1345)</w:t>
                        </w:r>
                      </w:p>
                    </w:txbxContent>
                  </v:textbox>
                </v:roundrect>
                <v:roundrect id="Rounded Rectangle 7" o:spid="_x0000_s1029" style="position:absolute;left:21907;width:19163;height:9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" fillcolor="white [3201]" strokecolor="black [3213]" strokeweight="1pt">
                  <v:stroke joinstyle="miter"/>
                  <v:textbox>
                    <w:txbxContent>
                      <w:p w14:paraId="11C12DED" w14:textId="6B5BFA78" w:rsidR="00F60D59" w:rsidRDefault="00F60D59" w:rsidP="00670809">
                        <w:pPr>
                          <w:pStyle w:val="Tables"/>
                          <w:jc w:val="center"/>
                          <w:rPr>
                            <w:lang w:val="en-AU"/>
                          </w:rPr>
                        </w:pPr>
                        <w:r>
                          <w:rPr>
                            <w:lang w:val="en-AU"/>
                          </w:rPr>
                          <w:t>Additional records identified through other sources</w:t>
                        </w:r>
                      </w:p>
                      <w:p w14:paraId="42A4CB79" w14:textId="55AED803" w:rsidR="00F60D59" w:rsidRPr="00670809" w:rsidRDefault="00F60D59" w:rsidP="00670809">
                        <w:pPr>
                          <w:pStyle w:val="Tables"/>
                          <w:jc w:val="center"/>
                        </w:pPr>
                        <w:r>
                          <w:t>(n = 0)</w:t>
                        </w:r>
                      </w:p>
                    </w:txbxContent>
                  </v:textbox>
                </v:roundrect>
                <v:roundrect id="Rounded Rectangle 8" o:spid="_x0000_s1030" style="position:absolute;left:11049;top:30289;width:19157;height:9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" fillcolor="white [3201]" strokecolor="black [3213]" strokeweight="1pt">
                  <v:stroke joinstyle="miter"/>
                  <v:textbox>
                    <w:txbxContent>
                      <w:p w14:paraId="7351FE2E" w14:textId="77777777" w:rsidR="00F60D59" w:rsidRDefault="00F60D59" w:rsidP="00692680">
                        <w:pPr>
                          <w:pStyle w:val="Tables"/>
                          <w:jc w:val="center"/>
                        </w:pPr>
                        <w:r>
                          <w:t>Records screen</w:t>
                        </w:r>
                      </w:p>
                      <w:p w14:paraId="3293B7A3" w14:textId="6F6129EE" w:rsidR="00F60D59" w:rsidRDefault="00F60D59" w:rsidP="00692680">
                        <w:pPr>
                          <w:pStyle w:val="Tables"/>
                          <w:jc w:val="center"/>
                        </w:pPr>
                        <w:r>
                          <w:t>(n = 1345)</w:t>
                        </w:r>
                      </w:p>
                    </w:txbxContent>
                  </v:textbox>
                </v:roundrect>
                <v:roundrect id="Rounded Rectangle 9" o:spid="_x0000_s1031" style="position:absolute;left:11049;top:46863;width:19162;height:9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" fillcolor="white [3201]" strokecolor="black [3213]" strokeweight="1pt">
                  <v:stroke joinstyle="miter"/>
                  <v:textbox>
                    <w:txbxContent>
                      <w:p w14:paraId="74F16489" w14:textId="29CD7CDB" w:rsidR="00F60D59" w:rsidRDefault="00F60D59" w:rsidP="00692680">
                        <w:pPr>
                          <w:pStyle w:val="Tables"/>
                          <w:jc w:val="center"/>
                        </w:pPr>
                        <w:r>
                          <w:t>Records evaluated by both authors</w:t>
                        </w:r>
                      </w:p>
                      <w:p w14:paraId="6FC9DBBF" w14:textId="127D848F" w:rsidR="00F60D59" w:rsidRDefault="00F60D59" w:rsidP="00692680">
                        <w:pPr>
                          <w:pStyle w:val="Tables"/>
                          <w:jc w:val="center"/>
                        </w:pPr>
                        <w:r>
                          <w:t>(n = 195)</w:t>
                        </w:r>
                      </w:p>
                    </w:txbxContent>
                  </v:textbox>
                </v:roundrect>
                <v:roundrect id="Rounded Rectangle 10" o:spid="_x0000_s1032" style="position:absolute;left:35052;top:30384;width:19157;height:9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" fillcolor="white [3201]" strokecolor="black [3213]" strokeweight="1pt">
                  <v:stroke joinstyle="miter"/>
                  <v:textbox>
                    <w:txbxContent>
                      <w:p w14:paraId="1C3A7D9F" w14:textId="77777777" w:rsidR="00F60D59" w:rsidRDefault="00F60D59" w:rsidP="00692680">
                        <w:pPr>
                          <w:pStyle w:val="Tables"/>
                          <w:jc w:val="center"/>
                        </w:pPr>
                        <w:r>
                          <w:t>Records excluded</w:t>
                        </w:r>
                      </w:p>
                      <w:p w14:paraId="79428870" w14:textId="3A398BEC" w:rsidR="00F60D59" w:rsidRDefault="00F60D59" w:rsidP="00692680">
                        <w:pPr>
                          <w:pStyle w:val="Tables"/>
                          <w:jc w:val="center"/>
                        </w:pPr>
                        <w:r>
                          <w:t>(n = 1150)</w:t>
                        </w:r>
                      </w:p>
                    </w:txbxContent>
                  </v:textbox>
                </v:roundrect>
                <v:roundrect id="Rounded Rectangle 11" o:spid="_x0000_s1033" style="position:absolute;left:35052;top:46863;width:19162;height:9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" fillcolor="white [3201]" strokecolor="black [3213]" strokeweight="1pt">
                  <v:stroke joinstyle="miter"/>
                  <v:textbox>
                    <w:txbxContent>
                      <w:p w14:paraId="6BB1A6DE" w14:textId="77777777" w:rsidR="00F60D59" w:rsidRDefault="00F60D59" w:rsidP="00692680">
                        <w:pPr>
                          <w:pStyle w:val="Tables"/>
                          <w:jc w:val="center"/>
                        </w:pPr>
                        <w:r>
                          <w:t>Records excluded</w:t>
                        </w:r>
                      </w:p>
                      <w:p w14:paraId="04C4E0CB" w14:textId="73C741CE" w:rsidR="00F60D59" w:rsidRDefault="00F60D59" w:rsidP="00692680">
                        <w:pPr>
                          <w:pStyle w:val="Tables"/>
                          <w:jc w:val="center"/>
                        </w:pPr>
                        <w:r>
                          <w:t>(n = 187)</w:t>
                        </w:r>
                      </w:p>
                    </w:txbxContent>
                  </v:textbox>
                </v:roundrect>
                <v:roundrect id="Rounded Rectangle 12" o:spid="_x0000_s1034" style="position:absolute;left:11049;top:62960;width:19162;height:9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" fillcolor="white [3201]" strokecolor="black [3213]" strokeweight="1pt">
                  <v:stroke joinstyle="miter"/>
                  <v:textbox>
                    <w:txbxContent>
                      <w:p w14:paraId="38FF31C5" w14:textId="6F5E5AA3" w:rsidR="00F60D59" w:rsidRDefault="00F60D59" w:rsidP="00692680">
                        <w:pPr>
                          <w:pStyle w:val="Tables"/>
                          <w:jc w:val="center"/>
                        </w:pPr>
                        <w:r>
                          <w:t>Full-text articles assessed for elgibility</w:t>
                        </w:r>
                      </w:p>
                      <w:p w14:paraId="57179394" w14:textId="4E0E9889" w:rsidR="00F60D59" w:rsidRPr="00692680" w:rsidRDefault="00F60D59" w:rsidP="00692680">
                        <w:pPr>
                          <w:pStyle w:val="Tables"/>
                          <w:jc w:val="center"/>
                        </w:pPr>
                        <w:r>
                          <w:t>(n = 8)</w:t>
                        </w:r>
                      </w:p>
                    </w:txbxContent>
                  </v:textbox>
                </v:roundrect>
                <v:roundrect id="Rounded Rectangle 13" o:spid="_x0000_s1035" style="position:absolute;left:35052;top:62960;width:19162;height:92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" fillcolor="white [3201]" strokecolor="black [3213]" strokeweight="1pt">
                  <v:stroke joinstyle="miter"/>
                  <v:textbox>
                    <w:txbxContent>
                      <w:p w14:paraId="711D907B" w14:textId="348E36C1" w:rsidR="00F60D59" w:rsidRDefault="00F60D59" w:rsidP="00692680">
                        <w:pPr>
                          <w:pStyle w:val="Tables"/>
                          <w:jc w:val="center"/>
                        </w:pPr>
                        <w:r>
                          <w:t>Full-text articles excluded and rationale reported</w:t>
                        </w:r>
                      </w:p>
                      <w:p w14:paraId="163CB3E0" w14:textId="4B295460" w:rsidR="00F60D59" w:rsidRPr="00692680" w:rsidRDefault="00F60D59" w:rsidP="00692680">
                        <w:pPr>
                          <w:pStyle w:val="Tables"/>
                          <w:jc w:val="center"/>
                        </w:pPr>
                        <w:r>
                          <w:t>(n = 2)</w:t>
                        </w:r>
                      </w:p>
                    </w:txbxContent>
                  </v:textbox>
                </v:roundrect>
                <v:roundrect id="Rounded Rectangle 14" o:spid="_x0000_s1036" style="position:absolute;left:11049;top:79248;width:19162;height:12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" fillcolor="white [3201]" strokecolor="black [3213]" strokeweight="1pt">
                  <v:stroke joinstyle="miter"/>
                  <v:textbox>
                    <w:txbxContent>
                      <w:p w14:paraId="5BC25E26" w14:textId="27BAD57E" w:rsidR="00F60D59" w:rsidRPr="00574F96" w:rsidRDefault="00F60D59" w:rsidP="00692680">
                        <w:pPr>
                          <w:pStyle w:val="Tables"/>
                          <w:jc w:val="center"/>
                          <w:rPr>
                            <w:sz w:val="18"/>
                            <w:szCs w:val="18"/>
                          </w:rPr>
                        </w:pPr>
                        <w:r w:rsidRPr="00574F96">
                          <w:rPr>
                            <w:sz w:val="18"/>
                            <w:szCs w:val="18"/>
                          </w:rPr>
                          <w:t>Studies included in qualitative synthesis</w:t>
                        </w:r>
                      </w:p>
                      <w:p w14:paraId="184C8847" w14:textId="65445FCE" w:rsidR="00F60D59" w:rsidRPr="00574F96" w:rsidRDefault="00F60D59" w:rsidP="00574F96">
                        <w:pPr>
                          <w:pStyle w:val="Tables"/>
                          <w:jc w:val="center"/>
                          <w:rPr>
                            <w:sz w:val="18"/>
                            <w:szCs w:val="18"/>
                          </w:rPr>
                        </w:pPr>
                        <w:r w:rsidRPr="00574F96">
                          <w:rPr>
                            <w:sz w:val="18"/>
                            <w:szCs w:val="18"/>
                          </w:rPr>
                          <w:t>(n = 6)</w:t>
                        </w:r>
                      </w:p>
                      <w:p w14:paraId="6AA4A619" w14:textId="47D96AD9" w:rsidR="00F60D59" w:rsidRPr="00574F96" w:rsidRDefault="00F60D59" w:rsidP="00CD7E60">
                        <w:pPr>
                          <w:pStyle w:val="Tables"/>
                          <w:jc w:val="center"/>
                          <w:rPr>
                            <w:sz w:val="18"/>
                            <w:szCs w:val="18"/>
                          </w:rPr>
                        </w:pPr>
                        <w:r w:rsidRPr="00574F96">
                          <w:rPr>
                            <w:sz w:val="18"/>
                            <w:szCs w:val="18"/>
                          </w:rPr>
                          <w:t>Studies included in quantitative synthesis</w:t>
                        </w:r>
                      </w:p>
                      <w:p w14:paraId="7AE4DFFE" w14:textId="0329F702" w:rsidR="00F60D59" w:rsidRPr="00574F96" w:rsidRDefault="00F60D59" w:rsidP="00CD7E60">
                        <w:pPr>
                          <w:pStyle w:val="Tables"/>
                          <w:jc w:val="center"/>
                          <w:rPr>
                            <w:sz w:val="18"/>
                            <w:szCs w:val="18"/>
                          </w:rPr>
                        </w:pPr>
                        <w:r w:rsidRPr="00574F96">
                          <w:rPr>
                            <w:sz w:val="18"/>
                            <w:szCs w:val="18"/>
                          </w:rPr>
                          <w:t>(n = 5)</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37" type="#_x0000_t34" style="position:absolute;left:13906;top:9239;width:80;height:36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" strokecolor="black [3200]" strokeweight=".5pt">
                  <v:stroke endarrow="block"/>
                </v:shape>
                <v:shape id="Elbow Connector 18" o:spid="_x0000_s1038" type="#_x0000_t34" style="position:absolute;left:27336;top:9239;width:80;height:36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" strokecolor="black [3200]" strokeweight=".5pt">
                  <v:stroke endarrow="block"/>
                </v:shape>
                <v:shape id="Elbow Connector 19" o:spid="_x0000_s1039" type="#_x0000_t34" style="position:absolute;left:20669;top:25717;width:79;height:36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" strokecolor="black [3200]" strokeweight=".5pt">
                  <v:stroke endarrow="block"/>
                </v:shape>
                <v:shape id="Elbow Connector 20" o:spid="_x0000_s1040" type="#_x0000_t34" style="position:absolute;left:20859;top:41624;width:80;height:36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" strokecolor="black [3200]" strokeweight=".5pt">
                  <v:stroke endarrow="block"/>
                </v:shape>
                <v:shape id="Elbow Connector 21" o:spid="_x0000_s1041" type="#_x0000_t34" style="position:absolute;left:20859;top:57816;width:80;height:36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" strokecolor="black [3200]" strokeweight=".5pt">
                  <v:stroke endarrow="block"/>
                </v:shape>
                <v:shape id="Elbow Connector 22" o:spid="_x0000_s1042" type="#_x0000_t34" style="position:absolute;left:20955;top:74009;width:79;height:36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" strokecolor="black [3200]" strokeweight=".5pt">
                  <v:stroke endarrow="block"/>
                </v:shape>
                <v:shape id="Elbow Connector 23" o:spid="_x0000_s1043" type="#_x0000_t34" style="position:absolute;left:31908;top:66580;width:79;height:36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" strokecolor="black [3200]" strokeweight=".5pt">
                  <v:stroke endarrow="block"/>
                </v:shape>
                <v:shape id="Elbow Connector 24" o:spid="_x0000_s1044" type="#_x0000_t34" style="position:absolute;left:32004;top:50291;width:80;height:36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" strokecolor="black [3200]" strokeweight=".5pt">
                  <v:stroke endarrow="block"/>
                </v:shape>
                <v:shape id="Elbow Connector 25" o:spid="_x0000_s1045" type="#_x0000_t34" style="position:absolute;left:32099;top:33622;width:80;height:36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" strokecolor="black [3200]" strokeweight=".5pt">
                  <v:stroke endarrow="block"/>
                </v:shape>
              </v:group>
            </w:pict>
          </mc:Fallback>
        </mc:AlternateContent>
      </w:r>
    </w:p>
    <w:p w14:paraId="7CB9A6C0" w14:textId="1BD2F4A9" w:rsidR="00670809" w:rsidRPr="00806BB7" w:rsidRDefault="00670809" w:rsidP="00670809">
      <w:pPr>
        <w:pStyle w:val="Tables"/>
        <w:rPr>
          <w:sz w:val="24"/>
          <w:szCs w:val="24"/>
        </w:rPr>
      </w:pPr>
    </w:p>
    <w:p w14:paraId="16C53578" w14:textId="2F45AA20" w:rsidR="00670809" w:rsidRPr="00806BB7" w:rsidRDefault="00670809" w:rsidP="00670809">
      <w:pPr>
        <w:pStyle w:val="Tables"/>
        <w:rPr>
          <w:sz w:val="24"/>
          <w:szCs w:val="24"/>
        </w:rPr>
      </w:pPr>
    </w:p>
    <w:p w14:paraId="05C830C7" w14:textId="64179E8B" w:rsidR="00670809" w:rsidRPr="00806BB7" w:rsidRDefault="00670809" w:rsidP="00670809">
      <w:pPr>
        <w:pStyle w:val="Tables"/>
        <w:rPr>
          <w:sz w:val="24"/>
          <w:szCs w:val="24"/>
        </w:rPr>
      </w:pPr>
    </w:p>
    <w:p w14:paraId="74D43F1C" w14:textId="1A8E5B45" w:rsidR="00670809" w:rsidRPr="00806BB7" w:rsidRDefault="00670809" w:rsidP="00670809">
      <w:pPr>
        <w:pStyle w:val="Tables"/>
        <w:rPr>
          <w:sz w:val="24"/>
          <w:szCs w:val="24"/>
        </w:rPr>
      </w:pPr>
    </w:p>
    <w:p w14:paraId="7DA1E08F" w14:textId="10FDD328" w:rsidR="00670809" w:rsidRPr="00806BB7" w:rsidRDefault="00670809" w:rsidP="00670809">
      <w:pPr>
        <w:pStyle w:val="Tables"/>
        <w:rPr>
          <w:sz w:val="24"/>
          <w:szCs w:val="24"/>
        </w:rPr>
      </w:pPr>
    </w:p>
    <w:p w14:paraId="55324A7B" w14:textId="7C4CED22" w:rsidR="00670809" w:rsidRPr="00806BB7" w:rsidRDefault="00670809" w:rsidP="00670809">
      <w:pPr>
        <w:pStyle w:val="Tables"/>
        <w:rPr>
          <w:sz w:val="24"/>
          <w:szCs w:val="24"/>
        </w:rPr>
      </w:pPr>
    </w:p>
    <w:p w14:paraId="7541D63B" w14:textId="21ED3671" w:rsidR="00670809" w:rsidRPr="00806BB7" w:rsidRDefault="00670809" w:rsidP="00670809">
      <w:pPr>
        <w:pStyle w:val="Tables"/>
        <w:rPr>
          <w:sz w:val="24"/>
          <w:szCs w:val="24"/>
        </w:rPr>
      </w:pPr>
    </w:p>
    <w:p w14:paraId="4E5E6B4E" w14:textId="66E27C19" w:rsidR="00670809" w:rsidRPr="00806BB7" w:rsidRDefault="00670809" w:rsidP="00670809">
      <w:pPr>
        <w:pStyle w:val="Tables"/>
        <w:rPr>
          <w:sz w:val="24"/>
          <w:szCs w:val="24"/>
        </w:rPr>
      </w:pPr>
    </w:p>
    <w:p w14:paraId="5AE55568" w14:textId="5EFB42F8" w:rsidR="00670809" w:rsidRPr="00806BB7" w:rsidRDefault="00670809" w:rsidP="00670809">
      <w:pPr>
        <w:pStyle w:val="Tables"/>
        <w:rPr>
          <w:sz w:val="24"/>
          <w:szCs w:val="24"/>
        </w:rPr>
      </w:pPr>
    </w:p>
    <w:p w14:paraId="01DC7A7C" w14:textId="56827DEC" w:rsidR="00670809" w:rsidRPr="00806BB7" w:rsidRDefault="00670809" w:rsidP="00670809">
      <w:pPr>
        <w:pStyle w:val="Tables"/>
        <w:rPr>
          <w:sz w:val="24"/>
          <w:szCs w:val="24"/>
        </w:rPr>
      </w:pPr>
    </w:p>
    <w:p w14:paraId="39632318" w14:textId="2508CB98" w:rsidR="00670809" w:rsidRPr="00806BB7" w:rsidRDefault="00670809" w:rsidP="00670809">
      <w:pPr>
        <w:pStyle w:val="Tables"/>
        <w:rPr>
          <w:sz w:val="24"/>
          <w:szCs w:val="24"/>
        </w:rPr>
      </w:pPr>
    </w:p>
    <w:p w14:paraId="320742B3" w14:textId="3975173C" w:rsidR="00670809" w:rsidRPr="00806BB7" w:rsidRDefault="00670809" w:rsidP="00670809">
      <w:pPr>
        <w:pStyle w:val="Tables"/>
        <w:rPr>
          <w:sz w:val="24"/>
          <w:szCs w:val="24"/>
        </w:rPr>
      </w:pPr>
    </w:p>
    <w:p w14:paraId="45B3E7CC" w14:textId="45B294E3" w:rsidR="00670809" w:rsidRPr="00806BB7" w:rsidRDefault="00670809" w:rsidP="00670809">
      <w:pPr>
        <w:pStyle w:val="Tables"/>
        <w:rPr>
          <w:sz w:val="24"/>
          <w:szCs w:val="24"/>
        </w:rPr>
      </w:pPr>
    </w:p>
    <w:p w14:paraId="28A8D6DC" w14:textId="6C4794A0" w:rsidR="00670809" w:rsidRPr="00806BB7" w:rsidRDefault="00670809" w:rsidP="00670809">
      <w:pPr>
        <w:pStyle w:val="Tables"/>
        <w:rPr>
          <w:sz w:val="24"/>
          <w:szCs w:val="24"/>
        </w:rPr>
      </w:pPr>
    </w:p>
    <w:p w14:paraId="337AA762" w14:textId="3001D4F2" w:rsidR="00670809" w:rsidRPr="00806BB7" w:rsidRDefault="00670809" w:rsidP="00670809">
      <w:pPr>
        <w:pStyle w:val="Tables"/>
        <w:rPr>
          <w:sz w:val="24"/>
          <w:szCs w:val="24"/>
        </w:rPr>
      </w:pPr>
    </w:p>
    <w:p w14:paraId="22F5122F" w14:textId="0E8CEF24" w:rsidR="00670809" w:rsidRPr="00806BB7" w:rsidRDefault="00670809" w:rsidP="00670809">
      <w:pPr>
        <w:pStyle w:val="Tables"/>
        <w:rPr>
          <w:sz w:val="24"/>
          <w:szCs w:val="24"/>
        </w:rPr>
      </w:pPr>
    </w:p>
    <w:p w14:paraId="42E87286" w14:textId="251B0390" w:rsidR="00670809" w:rsidRPr="00806BB7" w:rsidRDefault="00670809" w:rsidP="00670809">
      <w:pPr>
        <w:pStyle w:val="Tables"/>
        <w:rPr>
          <w:sz w:val="24"/>
          <w:szCs w:val="24"/>
        </w:rPr>
      </w:pPr>
    </w:p>
    <w:p w14:paraId="465BF107" w14:textId="6505B169" w:rsidR="00670809" w:rsidRPr="00806BB7" w:rsidRDefault="00670809" w:rsidP="00670809">
      <w:pPr>
        <w:pStyle w:val="Tables"/>
        <w:rPr>
          <w:sz w:val="24"/>
          <w:szCs w:val="24"/>
        </w:rPr>
      </w:pPr>
    </w:p>
    <w:p w14:paraId="48F724DA" w14:textId="440BDB7C" w:rsidR="00670809" w:rsidRPr="00806BB7" w:rsidRDefault="00670809" w:rsidP="00670809">
      <w:pPr>
        <w:pStyle w:val="Tables"/>
        <w:rPr>
          <w:sz w:val="24"/>
          <w:szCs w:val="24"/>
        </w:rPr>
      </w:pPr>
    </w:p>
    <w:p w14:paraId="45E075A5" w14:textId="78881952" w:rsidR="00670809" w:rsidRPr="00806BB7" w:rsidRDefault="00670809" w:rsidP="00670809">
      <w:pPr>
        <w:pStyle w:val="Tables"/>
        <w:rPr>
          <w:sz w:val="24"/>
          <w:szCs w:val="24"/>
        </w:rPr>
      </w:pPr>
    </w:p>
    <w:p w14:paraId="71A59142" w14:textId="4EF5CBED" w:rsidR="00670809" w:rsidRPr="00806BB7" w:rsidRDefault="00670809" w:rsidP="00670809">
      <w:pPr>
        <w:pStyle w:val="Tables"/>
        <w:rPr>
          <w:sz w:val="24"/>
          <w:szCs w:val="24"/>
        </w:rPr>
      </w:pPr>
    </w:p>
    <w:p w14:paraId="0490FE7D" w14:textId="65514DBE" w:rsidR="00670809" w:rsidRPr="00806BB7" w:rsidRDefault="00670809" w:rsidP="00670809">
      <w:pPr>
        <w:pStyle w:val="Tables"/>
        <w:rPr>
          <w:sz w:val="24"/>
          <w:szCs w:val="24"/>
        </w:rPr>
      </w:pPr>
    </w:p>
    <w:p w14:paraId="63DEF0F3" w14:textId="2E6EF577" w:rsidR="00670809" w:rsidRPr="00806BB7" w:rsidRDefault="00670809" w:rsidP="00670809">
      <w:pPr>
        <w:pStyle w:val="Tables"/>
        <w:rPr>
          <w:sz w:val="24"/>
          <w:szCs w:val="24"/>
        </w:rPr>
      </w:pPr>
    </w:p>
    <w:p w14:paraId="209511B6" w14:textId="1193C814" w:rsidR="00670809" w:rsidRPr="00806BB7" w:rsidRDefault="00670809" w:rsidP="00670809">
      <w:pPr>
        <w:pStyle w:val="Tables"/>
        <w:rPr>
          <w:sz w:val="24"/>
          <w:szCs w:val="24"/>
        </w:rPr>
      </w:pPr>
    </w:p>
    <w:p w14:paraId="61B9F546" w14:textId="4812C6FC" w:rsidR="00670809" w:rsidRPr="00806BB7" w:rsidRDefault="00670809" w:rsidP="00670809">
      <w:pPr>
        <w:pStyle w:val="Tables"/>
        <w:rPr>
          <w:sz w:val="24"/>
          <w:szCs w:val="24"/>
        </w:rPr>
      </w:pPr>
    </w:p>
    <w:p w14:paraId="7CA247CB" w14:textId="5857E5D8" w:rsidR="00670809" w:rsidRPr="00806BB7" w:rsidRDefault="00670809" w:rsidP="00670809">
      <w:pPr>
        <w:pStyle w:val="Tables"/>
        <w:rPr>
          <w:sz w:val="24"/>
          <w:szCs w:val="24"/>
        </w:rPr>
      </w:pPr>
    </w:p>
    <w:p w14:paraId="6D58DD68" w14:textId="248A250C" w:rsidR="00670809" w:rsidRPr="00806BB7" w:rsidRDefault="00670809" w:rsidP="00670809">
      <w:pPr>
        <w:pStyle w:val="Tables"/>
        <w:rPr>
          <w:sz w:val="24"/>
          <w:szCs w:val="24"/>
        </w:rPr>
      </w:pPr>
    </w:p>
    <w:p w14:paraId="1C067667" w14:textId="08207DEF" w:rsidR="00670809" w:rsidRPr="00806BB7" w:rsidRDefault="00670809" w:rsidP="00670809">
      <w:pPr>
        <w:pStyle w:val="Tables"/>
        <w:rPr>
          <w:sz w:val="24"/>
          <w:szCs w:val="24"/>
        </w:rPr>
      </w:pPr>
    </w:p>
    <w:p w14:paraId="44FD170F" w14:textId="78153C71" w:rsidR="00670809" w:rsidRPr="00806BB7" w:rsidRDefault="00670809" w:rsidP="00670809">
      <w:pPr>
        <w:pStyle w:val="Tables"/>
        <w:rPr>
          <w:sz w:val="24"/>
          <w:szCs w:val="24"/>
        </w:rPr>
      </w:pPr>
    </w:p>
    <w:p w14:paraId="29DC411C" w14:textId="39E89C68" w:rsidR="00670809" w:rsidRPr="00806BB7" w:rsidRDefault="00670809" w:rsidP="00670809">
      <w:pPr>
        <w:pStyle w:val="Tables"/>
        <w:rPr>
          <w:sz w:val="24"/>
          <w:szCs w:val="24"/>
        </w:rPr>
      </w:pPr>
    </w:p>
    <w:p w14:paraId="74B69D4F" w14:textId="4DFA5962" w:rsidR="00670809" w:rsidRPr="00806BB7" w:rsidRDefault="00670809" w:rsidP="00670809">
      <w:pPr>
        <w:pStyle w:val="Tables"/>
        <w:rPr>
          <w:sz w:val="24"/>
          <w:szCs w:val="24"/>
        </w:rPr>
      </w:pPr>
    </w:p>
    <w:p w14:paraId="09C1BB60" w14:textId="071E4E45" w:rsidR="00670809" w:rsidRPr="00806BB7" w:rsidRDefault="00670809" w:rsidP="00670809">
      <w:pPr>
        <w:pStyle w:val="Tables"/>
        <w:rPr>
          <w:sz w:val="24"/>
          <w:szCs w:val="24"/>
        </w:rPr>
      </w:pPr>
    </w:p>
    <w:p w14:paraId="47F77D36" w14:textId="5F0D3A1D" w:rsidR="00670809" w:rsidRPr="00806BB7" w:rsidRDefault="00670809" w:rsidP="00670809">
      <w:pPr>
        <w:pStyle w:val="Tables"/>
        <w:rPr>
          <w:sz w:val="24"/>
          <w:szCs w:val="24"/>
        </w:rPr>
      </w:pPr>
    </w:p>
    <w:p w14:paraId="448CBBC3" w14:textId="130DA302" w:rsidR="00670809" w:rsidRPr="00806BB7" w:rsidRDefault="00670809" w:rsidP="00670809">
      <w:pPr>
        <w:pStyle w:val="Tables"/>
        <w:rPr>
          <w:sz w:val="24"/>
          <w:szCs w:val="24"/>
        </w:rPr>
      </w:pPr>
    </w:p>
    <w:p w14:paraId="5B5F929E" w14:textId="5BED7EC2" w:rsidR="00670809" w:rsidRPr="00806BB7" w:rsidRDefault="00670809" w:rsidP="00670809">
      <w:pPr>
        <w:pStyle w:val="Tables"/>
        <w:rPr>
          <w:sz w:val="24"/>
          <w:szCs w:val="24"/>
        </w:rPr>
      </w:pPr>
    </w:p>
    <w:p w14:paraId="1035A58D" w14:textId="1587790A" w:rsidR="00670809" w:rsidRPr="00806BB7" w:rsidRDefault="00670809" w:rsidP="00670809">
      <w:pPr>
        <w:pStyle w:val="Tables"/>
        <w:rPr>
          <w:sz w:val="24"/>
          <w:szCs w:val="24"/>
        </w:rPr>
      </w:pPr>
    </w:p>
    <w:p w14:paraId="0211FD69" w14:textId="56B82AD2" w:rsidR="00670809" w:rsidRPr="00806BB7" w:rsidRDefault="00670809" w:rsidP="00670809">
      <w:pPr>
        <w:pStyle w:val="Tables"/>
        <w:rPr>
          <w:sz w:val="24"/>
          <w:szCs w:val="24"/>
        </w:rPr>
      </w:pPr>
    </w:p>
    <w:p w14:paraId="228409D0" w14:textId="777672D8" w:rsidR="00670809" w:rsidRPr="00806BB7" w:rsidRDefault="00670809" w:rsidP="00670809">
      <w:pPr>
        <w:pStyle w:val="Tables"/>
        <w:rPr>
          <w:sz w:val="24"/>
          <w:szCs w:val="24"/>
        </w:rPr>
      </w:pPr>
    </w:p>
    <w:p w14:paraId="1D8C221E" w14:textId="2F19F997" w:rsidR="00670809" w:rsidRPr="00806BB7" w:rsidRDefault="00670809" w:rsidP="00670809">
      <w:pPr>
        <w:pStyle w:val="Tables"/>
        <w:rPr>
          <w:sz w:val="24"/>
          <w:szCs w:val="24"/>
        </w:rPr>
      </w:pPr>
    </w:p>
    <w:p w14:paraId="188E51B1" w14:textId="183FE1C9" w:rsidR="00670809" w:rsidRPr="00806BB7" w:rsidRDefault="00670809" w:rsidP="00670809">
      <w:pPr>
        <w:pStyle w:val="Tables"/>
        <w:rPr>
          <w:sz w:val="24"/>
          <w:szCs w:val="24"/>
        </w:rPr>
      </w:pPr>
    </w:p>
    <w:p w14:paraId="4FBA7040" w14:textId="6F5224CD" w:rsidR="00670809" w:rsidRPr="00806BB7" w:rsidRDefault="00670809" w:rsidP="00670809">
      <w:pPr>
        <w:pStyle w:val="Tables"/>
        <w:rPr>
          <w:sz w:val="24"/>
          <w:szCs w:val="24"/>
        </w:rPr>
      </w:pPr>
    </w:p>
    <w:p w14:paraId="138D5A23" w14:textId="1485ACF9" w:rsidR="00670809" w:rsidRDefault="00670809" w:rsidP="00670809">
      <w:pPr>
        <w:pStyle w:val="Tables"/>
        <w:rPr>
          <w:sz w:val="24"/>
          <w:szCs w:val="24"/>
        </w:rPr>
      </w:pPr>
    </w:p>
    <w:p w14:paraId="674995F6" w14:textId="77777777" w:rsidR="00EA57B2" w:rsidRPr="00EA57B2" w:rsidRDefault="00EA57B2" w:rsidP="00EA57B2">
      <w:pPr>
        <w:rPr>
          <w:lang w:val="en-CA" w:eastAsia="en-AU"/>
        </w:rPr>
      </w:pPr>
    </w:p>
    <w:p w14:paraId="1CB6A946" w14:textId="08654924" w:rsidR="00670809" w:rsidRPr="00806BB7" w:rsidRDefault="00670809" w:rsidP="00670809">
      <w:pPr>
        <w:pStyle w:val="Tables"/>
        <w:rPr>
          <w:sz w:val="24"/>
          <w:szCs w:val="24"/>
        </w:rPr>
      </w:pPr>
    </w:p>
    <w:p w14:paraId="30AA8E5A" w14:textId="49D6E2D3" w:rsidR="00670809" w:rsidRPr="00806BB7" w:rsidRDefault="00670809" w:rsidP="00670809">
      <w:pPr>
        <w:pStyle w:val="Tables"/>
        <w:rPr>
          <w:sz w:val="24"/>
          <w:szCs w:val="24"/>
        </w:rPr>
      </w:pPr>
    </w:p>
    <w:p w14:paraId="196E77FF" w14:textId="19F00BE4" w:rsidR="00670809" w:rsidRPr="00806BB7" w:rsidRDefault="00670809" w:rsidP="00670809">
      <w:pPr>
        <w:pStyle w:val="Tables"/>
        <w:rPr>
          <w:sz w:val="24"/>
          <w:szCs w:val="24"/>
        </w:rPr>
      </w:pPr>
    </w:p>
    <w:p w14:paraId="216FC0F0" w14:textId="5BA018CD" w:rsidR="00670809" w:rsidRPr="00806BB7" w:rsidRDefault="00670809" w:rsidP="00670809">
      <w:pPr>
        <w:pStyle w:val="Tables"/>
        <w:rPr>
          <w:sz w:val="24"/>
          <w:szCs w:val="24"/>
        </w:rPr>
      </w:pPr>
    </w:p>
    <w:p w14:paraId="3FDDE761" w14:textId="7BAF1865" w:rsidR="00670809" w:rsidRPr="00806BB7" w:rsidRDefault="00F41E63" w:rsidP="00E83124">
      <w:pPr>
        <w:rPr>
          <w:szCs w:val="24"/>
        </w:rPr>
      </w:pPr>
      <w:r w:rsidRPr="00806BB7">
        <w:rPr>
          <w:noProof/>
          <w:szCs w:val="24"/>
          <w:lang w:eastAsia="en-AU"/>
        </w:rPr>
        <mc:AlternateContent>
          <mc:Choice Requires="wps">
            <w:drawing>
              <wp:anchor distT="0" distB="0" distL="114300" distR="114300" simplePos="0" relativeHeight="251699200" behindDoc="0" locked="0" layoutInCell="1" allowOverlap="1" wp14:anchorId="61A25493" wp14:editId="39E83802">
                <wp:simplePos x="0" y="0"/>
                <wp:positionH relativeFrom="margin">
                  <wp:align>left</wp:align>
                </wp:positionH>
                <wp:positionV relativeFrom="paragraph">
                  <wp:posOffset>313055</wp:posOffset>
                </wp:positionV>
                <wp:extent cx="3867150" cy="6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867150" cy="635"/>
                        </a:xfrm>
                        <a:prstGeom prst="rect">
                          <a:avLst/>
                        </a:prstGeom>
                        <a:solidFill>
                          <a:prstClr val="white"/>
                        </a:solidFill>
                        <a:ln>
                          <a:noFill/>
                        </a:ln>
                      </wps:spPr>
                      <wps:txbx>
                        <w:txbxContent>
                          <w:p w14:paraId="5BF130E4" w14:textId="5EA91710" w:rsidR="00F60D59" w:rsidRPr="00EA38F9" w:rsidRDefault="00F60D59" w:rsidP="00C74CF4">
                            <w:pPr>
                              <w:pStyle w:val="Tables"/>
                              <w:rPr>
                                <w:i/>
                                <w:sz w:val="24"/>
                                <w:szCs w:val="24"/>
                              </w:rPr>
                            </w:pPr>
                            <w:bookmarkStart w:id="19" w:name="_Ref39230348"/>
                            <w:r w:rsidRPr="00EA38F9">
                              <w:rPr>
                                <w:b/>
                                <w:sz w:val="24"/>
                                <w:szCs w:val="24"/>
                              </w:rPr>
                              <w:t xml:space="preserve">Figure </w:t>
                            </w:r>
                            <w:r w:rsidRPr="00EA38F9">
                              <w:rPr>
                                <w:b/>
                                <w:sz w:val="24"/>
                                <w:szCs w:val="24"/>
                              </w:rPr>
                              <w:fldChar w:fldCharType="begin"/>
                            </w:r>
                            <w:r w:rsidRPr="00EA38F9">
                              <w:rPr>
                                <w:b/>
                                <w:sz w:val="24"/>
                                <w:szCs w:val="24"/>
                              </w:rPr>
                              <w:instrText xml:space="preserve"> SEQ Figure \* ARABIC </w:instrText>
                            </w:r>
                            <w:r w:rsidRPr="00EA38F9">
                              <w:rPr>
                                <w:b/>
                                <w:sz w:val="24"/>
                                <w:szCs w:val="24"/>
                              </w:rPr>
                              <w:fldChar w:fldCharType="separate"/>
                            </w:r>
                            <w:r w:rsidRPr="00EA38F9">
                              <w:rPr>
                                <w:b/>
                                <w:sz w:val="24"/>
                                <w:szCs w:val="24"/>
                              </w:rPr>
                              <w:t>1</w:t>
                            </w:r>
                            <w:r w:rsidRPr="00EA38F9">
                              <w:rPr>
                                <w:b/>
                                <w:sz w:val="24"/>
                                <w:szCs w:val="24"/>
                              </w:rPr>
                              <w:fldChar w:fldCharType="end"/>
                            </w:r>
                            <w:bookmarkEnd w:id="19"/>
                            <w:r w:rsidRPr="00EA38F9">
                              <w:rPr>
                                <w:b/>
                                <w:sz w:val="24"/>
                                <w:szCs w:val="24"/>
                              </w:rPr>
                              <w:t xml:space="preserve"> </w:t>
                            </w:r>
                            <w:r w:rsidRPr="00EA38F9">
                              <w:rPr>
                                <w:i/>
                                <w:sz w:val="24"/>
                                <w:szCs w:val="24"/>
                              </w:rPr>
                              <w:t>Iterative process of record inclusion/exclusion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A25493" id="_x0000_t202" coordsize="21600,21600" o:spt="202" path="m,l,21600r21600,l21600,xe">
                <v:stroke joinstyle="miter"/>
                <v:path gradientshapeok="t" o:connecttype="rect"/>
              </v:shapetype>
              <v:shape id="Text Box 26" o:spid="_x0000_s1046" type="#_x0000_t202" style="position:absolute;left:0;text-align:left;margin-left:0;margin-top:24.65pt;width:304.5pt;height:.05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" stroked="f">
                <v:textbox style="mso-fit-shape-to-text:t" inset="0,0,0,0">
                  <w:txbxContent>
                    <w:p w14:paraId="5BF130E4" w14:textId="5EA91710" w:rsidR="00F60D59" w:rsidRPr="00EA38F9" w:rsidRDefault="00F60D59" w:rsidP="00C74CF4">
                      <w:pPr>
                        <w:pStyle w:val="Tables"/>
                        <w:rPr>
                          <w:i/>
                          <w:sz w:val="24"/>
                          <w:szCs w:val="24"/>
                        </w:rPr>
                      </w:pPr>
                      <w:bookmarkStart w:id="19" w:name="_Ref39230348"/>
                      <w:r w:rsidRPr="00EA38F9">
                        <w:rPr>
                          <w:b/>
                          <w:sz w:val="24"/>
                          <w:szCs w:val="24"/>
                        </w:rPr>
                        <w:t xml:space="preserve">Figure </w:t>
                      </w:r>
                      <w:r w:rsidRPr="00EA38F9">
                        <w:rPr>
                          <w:b/>
                          <w:sz w:val="24"/>
                          <w:szCs w:val="24"/>
                        </w:rPr>
                        <w:fldChar w:fldCharType="begin"/>
                      </w:r>
                      <w:r w:rsidRPr="00EA38F9">
                        <w:rPr>
                          <w:b/>
                          <w:sz w:val="24"/>
                          <w:szCs w:val="24"/>
                        </w:rPr>
                        <w:instrText xml:space="preserve"> SEQ Figure \* ARABIC </w:instrText>
                      </w:r>
                      <w:r w:rsidRPr="00EA38F9">
                        <w:rPr>
                          <w:b/>
                          <w:sz w:val="24"/>
                          <w:szCs w:val="24"/>
                        </w:rPr>
                        <w:fldChar w:fldCharType="separate"/>
                      </w:r>
                      <w:r w:rsidRPr="00EA38F9">
                        <w:rPr>
                          <w:b/>
                          <w:sz w:val="24"/>
                          <w:szCs w:val="24"/>
                        </w:rPr>
                        <w:t>1</w:t>
                      </w:r>
                      <w:r w:rsidRPr="00EA38F9">
                        <w:rPr>
                          <w:b/>
                          <w:sz w:val="24"/>
                          <w:szCs w:val="24"/>
                        </w:rPr>
                        <w:fldChar w:fldCharType="end"/>
                      </w:r>
                      <w:bookmarkEnd w:id="19"/>
                      <w:r w:rsidRPr="00EA38F9">
                        <w:rPr>
                          <w:b/>
                          <w:sz w:val="24"/>
                          <w:szCs w:val="24"/>
                        </w:rPr>
                        <w:t xml:space="preserve"> </w:t>
                      </w:r>
                      <w:r w:rsidRPr="00EA38F9">
                        <w:rPr>
                          <w:i/>
                          <w:sz w:val="24"/>
                          <w:szCs w:val="24"/>
                        </w:rPr>
                        <w:t>Iterative process of record inclusion/exclusion</w:t>
                      </w:r>
                    </w:p>
                  </w:txbxContent>
                </v:textbox>
                <w10:wrap anchorx="margin"/>
              </v:shape>
            </w:pict>
          </mc:Fallback>
        </mc:AlternateContent>
      </w:r>
    </w:p>
    <w:tbl>
      <w:tblPr>
        <w:tblStyle w:val="TableGrid"/>
        <w:tblW w:w="106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1301"/>
        <w:gridCol w:w="709"/>
        <w:gridCol w:w="992"/>
        <w:gridCol w:w="1512"/>
        <w:gridCol w:w="1465"/>
        <w:gridCol w:w="1430"/>
        <w:gridCol w:w="1372"/>
        <w:gridCol w:w="794"/>
      </w:tblGrid>
      <w:tr w:rsidR="007E63DD" w:rsidRPr="00E71562" w14:paraId="78C3D2F6" w14:textId="77777777" w:rsidTr="00574F96">
        <w:tc>
          <w:tcPr>
            <w:tcW w:w="1109" w:type="dxa"/>
          </w:tcPr>
          <w:p w14:paraId="75A77DC3" w14:textId="34892EFE" w:rsidR="007E63DD" w:rsidRPr="00574F96" w:rsidRDefault="00541B60" w:rsidP="00DD4734">
            <w:pPr>
              <w:pStyle w:val="Tables"/>
              <w:rPr>
                <w:sz w:val="14"/>
                <w:szCs w:val="14"/>
              </w:rPr>
            </w:pPr>
            <w:r w:rsidRPr="00574F96">
              <w:rPr>
                <w:sz w:val="14"/>
                <w:szCs w:val="14"/>
              </w:rPr>
              <w:lastRenderedPageBreak/>
              <w:t>Article</w:t>
            </w:r>
          </w:p>
        </w:tc>
        <w:tc>
          <w:tcPr>
            <w:tcW w:w="3002" w:type="dxa"/>
            <w:gridSpan w:val="3"/>
          </w:tcPr>
          <w:p w14:paraId="35909262" w14:textId="77777777" w:rsidR="007E63DD" w:rsidRPr="00574F96" w:rsidRDefault="007E63DD" w:rsidP="00A144CD">
            <w:pPr>
              <w:pStyle w:val="Tables"/>
              <w:jc w:val="center"/>
              <w:rPr>
                <w:sz w:val="14"/>
                <w:szCs w:val="14"/>
              </w:rPr>
            </w:pPr>
            <w:r w:rsidRPr="00574F96">
              <w:rPr>
                <w:sz w:val="14"/>
                <w:szCs w:val="14"/>
              </w:rPr>
              <w:t>Sample Characteristics</w:t>
            </w:r>
          </w:p>
        </w:tc>
        <w:tc>
          <w:tcPr>
            <w:tcW w:w="2977" w:type="dxa"/>
            <w:gridSpan w:val="2"/>
          </w:tcPr>
          <w:p w14:paraId="064C8CDA" w14:textId="77777777" w:rsidR="007E63DD" w:rsidRPr="00574F96" w:rsidRDefault="007E63DD" w:rsidP="00A144CD">
            <w:pPr>
              <w:pStyle w:val="Tables"/>
              <w:jc w:val="center"/>
              <w:rPr>
                <w:sz w:val="14"/>
                <w:szCs w:val="14"/>
              </w:rPr>
            </w:pPr>
            <w:r w:rsidRPr="00574F96">
              <w:rPr>
                <w:sz w:val="14"/>
                <w:szCs w:val="14"/>
              </w:rPr>
              <w:t>Perceptual Measures</w:t>
            </w:r>
          </w:p>
        </w:tc>
        <w:tc>
          <w:tcPr>
            <w:tcW w:w="2802" w:type="dxa"/>
            <w:gridSpan w:val="2"/>
          </w:tcPr>
          <w:p w14:paraId="41C4331A" w14:textId="77777777" w:rsidR="007E63DD" w:rsidRPr="00574F96" w:rsidRDefault="007E63DD" w:rsidP="00A144CD">
            <w:pPr>
              <w:pStyle w:val="Tables"/>
              <w:jc w:val="center"/>
              <w:rPr>
                <w:sz w:val="14"/>
                <w:szCs w:val="14"/>
              </w:rPr>
            </w:pPr>
            <w:r w:rsidRPr="00574F96">
              <w:rPr>
                <w:sz w:val="14"/>
                <w:szCs w:val="14"/>
              </w:rPr>
              <w:t>Reading Measuers</w:t>
            </w:r>
          </w:p>
        </w:tc>
        <w:tc>
          <w:tcPr>
            <w:tcW w:w="794" w:type="dxa"/>
          </w:tcPr>
          <w:p w14:paraId="1EE95738" w14:textId="2A1FFF90" w:rsidR="007E63DD" w:rsidRPr="00574F96" w:rsidRDefault="007E63DD" w:rsidP="00574F96">
            <w:pPr>
              <w:pStyle w:val="Tables"/>
              <w:jc w:val="center"/>
              <w:rPr>
                <w:sz w:val="14"/>
                <w:szCs w:val="14"/>
              </w:rPr>
            </w:pPr>
            <w:r w:rsidRPr="00574F96">
              <w:rPr>
                <w:sz w:val="14"/>
                <w:szCs w:val="14"/>
              </w:rPr>
              <w:t>Total</w:t>
            </w:r>
          </w:p>
        </w:tc>
      </w:tr>
      <w:tr w:rsidR="007E63DD" w:rsidRPr="00E71562" w14:paraId="3F293573" w14:textId="77777777" w:rsidTr="00574F96">
        <w:tc>
          <w:tcPr>
            <w:tcW w:w="1109" w:type="dxa"/>
            <w:tcBorders>
              <w:bottom w:val="single" w:sz="4" w:space="0" w:color="auto"/>
            </w:tcBorders>
          </w:tcPr>
          <w:p w14:paraId="0B811C7C" w14:textId="77777777" w:rsidR="007E63DD" w:rsidRPr="00574F96" w:rsidRDefault="007E63DD" w:rsidP="00DD4734">
            <w:pPr>
              <w:pStyle w:val="Tables"/>
              <w:rPr>
                <w:sz w:val="14"/>
                <w:szCs w:val="14"/>
              </w:rPr>
            </w:pPr>
          </w:p>
        </w:tc>
        <w:tc>
          <w:tcPr>
            <w:tcW w:w="1301" w:type="dxa"/>
            <w:tcBorders>
              <w:bottom w:val="single" w:sz="4" w:space="0" w:color="auto"/>
            </w:tcBorders>
          </w:tcPr>
          <w:p w14:paraId="732E70EC" w14:textId="77777777" w:rsidR="007E63DD" w:rsidRPr="00574F96" w:rsidRDefault="007E63DD" w:rsidP="00A144CD">
            <w:pPr>
              <w:pStyle w:val="Tables"/>
              <w:jc w:val="center"/>
              <w:rPr>
                <w:sz w:val="14"/>
                <w:szCs w:val="14"/>
              </w:rPr>
            </w:pPr>
            <w:r w:rsidRPr="00574F96">
              <w:rPr>
                <w:sz w:val="14"/>
                <w:szCs w:val="14"/>
              </w:rPr>
              <w:t>Representativeness</w:t>
            </w:r>
          </w:p>
        </w:tc>
        <w:tc>
          <w:tcPr>
            <w:tcW w:w="709" w:type="dxa"/>
            <w:tcBorders>
              <w:bottom w:val="single" w:sz="4" w:space="0" w:color="auto"/>
            </w:tcBorders>
          </w:tcPr>
          <w:p w14:paraId="57AF108F" w14:textId="77777777" w:rsidR="007E63DD" w:rsidRPr="00574F96" w:rsidRDefault="007E63DD" w:rsidP="00A144CD">
            <w:pPr>
              <w:pStyle w:val="Tables"/>
              <w:jc w:val="center"/>
              <w:rPr>
                <w:sz w:val="14"/>
                <w:szCs w:val="14"/>
              </w:rPr>
            </w:pPr>
            <w:r w:rsidRPr="00574F96">
              <w:rPr>
                <w:sz w:val="14"/>
                <w:szCs w:val="14"/>
              </w:rPr>
              <w:t>Size</w:t>
            </w:r>
          </w:p>
        </w:tc>
        <w:tc>
          <w:tcPr>
            <w:tcW w:w="992" w:type="dxa"/>
            <w:tcBorders>
              <w:bottom w:val="single" w:sz="4" w:space="0" w:color="auto"/>
            </w:tcBorders>
          </w:tcPr>
          <w:p w14:paraId="721B1D7B" w14:textId="77777777" w:rsidR="007E63DD" w:rsidRPr="00574F96" w:rsidRDefault="007E63DD" w:rsidP="00A144CD">
            <w:pPr>
              <w:pStyle w:val="Tables"/>
              <w:jc w:val="center"/>
              <w:rPr>
                <w:sz w:val="14"/>
                <w:szCs w:val="14"/>
              </w:rPr>
            </w:pPr>
            <w:r w:rsidRPr="00574F96">
              <w:rPr>
                <w:sz w:val="14"/>
                <w:szCs w:val="14"/>
              </w:rPr>
              <w:t>Quality</w:t>
            </w:r>
          </w:p>
        </w:tc>
        <w:tc>
          <w:tcPr>
            <w:tcW w:w="1512" w:type="dxa"/>
            <w:tcBorders>
              <w:bottom w:val="single" w:sz="4" w:space="0" w:color="auto"/>
            </w:tcBorders>
          </w:tcPr>
          <w:p w14:paraId="1546E83B" w14:textId="77777777" w:rsidR="007E63DD" w:rsidRPr="00574F96" w:rsidRDefault="007E63DD" w:rsidP="00A144CD">
            <w:pPr>
              <w:pStyle w:val="Tables"/>
              <w:jc w:val="center"/>
              <w:rPr>
                <w:sz w:val="14"/>
                <w:szCs w:val="14"/>
              </w:rPr>
            </w:pPr>
            <w:r w:rsidRPr="00574F96">
              <w:rPr>
                <w:sz w:val="14"/>
                <w:szCs w:val="14"/>
              </w:rPr>
              <w:t>Measure-Assessments</w:t>
            </w:r>
          </w:p>
        </w:tc>
        <w:tc>
          <w:tcPr>
            <w:tcW w:w="1465" w:type="dxa"/>
            <w:tcBorders>
              <w:bottom w:val="single" w:sz="4" w:space="0" w:color="auto"/>
            </w:tcBorders>
          </w:tcPr>
          <w:p w14:paraId="5C47CC50" w14:textId="0747C53E" w:rsidR="007E63DD" w:rsidRPr="00574F96" w:rsidRDefault="007E63DD" w:rsidP="00A144CD">
            <w:pPr>
              <w:pStyle w:val="Tables"/>
              <w:jc w:val="center"/>
              <w:rPr>
                <w:sz w:val="14"/>
                <w:szCs w:val="14"/>
              </w:rPr>
            </w:pPr>
            <w:r w:rsidRPr="00574F96">
              <w:rPr>
                <w:sz w:val="14"/>
                <w:szCs w:val="14"/>
              </w:rPr>
              <w:t>Statistical test ev</w:t>
            </w:r>
            <w:r w:rsidR="00A144CD" w:rsidRPr="00574F96">
              <w:rPr>
                <w:sz w:val="14"/>
                <w:szCs w:val="14"/>
              </w:rPr>
              <w:t>a</w:t>
            </w:r>
            <w:r w:rsidRPr="00574F96">
              <w:rPr>
                <w:sz w:val="14"/>
                <w:szCs w:val="14"/>
              </w:rPr>
              <w:t>lu</w:t>
            </w:r>
            <w:r w:rsidR="00A144CD" w:rsidRPr="00574F96">
              <w:rPr>
                <w:sz w:val="14"/>
                <w:szCs w:val="14"/>
              </w:rPr>
              <w:t>a</w:t>
            </w:r>
            <w:r w:rsidRPr="00574F96">
              <w:rPr>
                <w:sz w:val="14"/>
                <w:szCs w:val="14"/>
              </w:rPr>
              <w:t>tions</w:t>
            </w:r>
          </w:p>
        </w:tc>
        <w:tc>
          <w:tcPr>
            <w:tcW w:w="1430" w:type="dxa"/>
            <w:tcBorders>
              <w:bottom w:val="single" w:sz="4" w:space="0" w:color="auto"/>
            </w:tcBorders>
          </w:tcPr>
          <w:p w14:paraId="497611B2" w14:textId="77777777" w:rsidR="007E63DD" w:rsidRPr="00574F96" w:rsidRDefault="007E63DD" w:rsidP="00A144CD">
            <w:pPr>
              <w:pStyle w:val="Tables"/>
              <w:jc w:val="center"/>
              <w:rPr>
                <w:sz w:val="14"/>
                <w:szCs w:val="14"/>
              </w:rPr>
            </w:pPr>
            <w:r w:rsidRPr="00574F96">
              <w:rPr>
                <w:sz w:val="14"/>
                <w:szCs w:val="14"/>
              </w:rPr>
              <w:t>Measure assessments</w:t>
            </w:r>
          </w:p>
        </w:tc>
        <w:tc>
          <w:tcPr>
            <w:tcW w:w="1372" w:type="dxa"/>
            <w:tcBorders>
              <w:bottom w:val="single" w:sz="4" w:space="0" w:color="auto"/>
            </w:tcBorders>
          </w:tcPr>
          <w:p w14:paraId="5191C470" w14:textId="77777777" w:rsidR="007E63DD" w:rsidRPr="00574F96" w:rsidRDefault="007E63DD" w:rsidP="00A144CD">
            <w:pPr>
              <w:pStyle w:val="Tables"/>
              <w:jc w:val="center"/>
              <w:rPr>
                <w:sz w:val="14"/>
                <w:szCs w:val="14"/>
              </w:rPr>
            </w:pPr>
            <w:r w:rsidRPr="00574F96">
              <w:rPr>
                <w:sz w:val="14"/>
                <w:szCs w:val="14"/>
              </w:rPr>
              <w:t>Statistical test evaluations</w:t>
            </w:r>
          </w:p>
        </w:tc>
        <w:tc>
          <w:tcPr>
            <w:tcW w:w="794" w:type="dxa"/>
            <w:tcBorders>
              <w:bottom w:val="single" w:sz="4" w:space="0" w:color="auto"/>
            </w:tcBorders>
          </w:tcPr>
          <w:p w14:paraId="6029D04E" w14:textId="77777777" w:rsidR="007E63DD" w:rsidRPr="00574F96" w:rsidRDefault="007E63DD" w:rsidP="00A144CD">
            <w:pPr>
              <w:pStyle w:val="Tables"/>
              <w:jc w:val="center"/>
              <w:rPr>
                <w:sz w:val="14"/>
                <w:szCs w:val="14"/>
              </w:rPr>
            </w:pPr>
          </w:p>
        </w:tc>
      </w:tr>
      <w:tr w:rsidR="007E63DD" w:rsidRPr="00E71562" w14:paraId="3B124C88" w14:textId="77777777" w:rsidTr="00574F96">
        <w:tc>
          <w:tcPr>
            <w:tcW w:w="1109" w:type="dxa"/>
            <w:tcBorders>
              <w:top w:val="single" w:sz="4" w:space="0" w:color="auto"/>
              <w:bottom w:val="nil"/>
            </w:tcBorders>
          </w:tcPr>
          <w:p w14:paraId="2AF452F2" w14:textId="77777777" w:rsidR="007E63DD" w:rsidRPr="00574F96" w:rsidRDefault="007E63DD" w:rsidP="00DD4734">
            <w:pPr>
              <w:pStyle w:val="Tables"/>
              <w:rPr>
                <w:sz w:val="14"/>
                <w:szCs w:val="14"/>
              </w:rPr>
            </w:pPr>
            <w:r w:rsidRPr="00574F96">
              <w:rPr>
                <w:sz w:val="14"/>
                <w:szCs w:val="14"/>
              </w:rPr>
              <w:t>Ahissar, 2006</w:t>
            </w:r>
          </w:p>
        </w:tc>
        <w:tc>
          <w:tcPr>
            <w:tcW w:w="1301" w:type="dxa"/>
            <w:tcBorders>
              <w:top w:val="single" w:sz="4" w:space="0" w:color="auto"/>
              <w:bottom w:val="nil"/>
            </w:tcBorders>
          </w:tcPr>
          <w:p w14:paraId="7A1EE367" w14:textId="77777777" w:rsidR="007E63DD" w:rsidRPr="00574F96" w:rsidRDefault="007E63DD" w:rsidP="00806BB7">
            <w:pPr>
              <w:pStyle w:val="Tables"/>
              <w:jc w:val="center"/>
              <w:rPr>
                <w:sz w:val="14"/>
                <w:szCs w:val="14"/>
              </w:rPr>
            </w:pPr>
            <w:r w:rsidRPr="00574F96">
              <w:rPr>
                <w:sz w:val="14"/>
                <w:szCs w:val="14"/>
              </w:rPr>
              <w:t>1</w:t>
            </w:r>
          </w:p>
        </w:tc>
        <w:tc>
          <w:tcPr>
            <w:tcW w:w="709" w:type="dxa"/>
            <w:tcBorders>
              <w:top w:val="single" w:sz="4" w:space="0" w:color="auto"/>
              <w:bottom w:val="nil"/>
            </w:tcBorders>
          </w:tcPr>
          <w:p w14:paraId="0E06F04A" w14:textId="77777777" w:rsidR="007E63DD" w:rsidRPr="00574F96" w:rsidRDefault="007E63DD" w:rsidP="00806BB7">
            <w:pPr>
              <w:pStyle w:val="Tables"/>
              <w:jc w:val="center"/>
              <w:rPr>
                <w:sz w:val="14"/>
                <w:szCs w:val="14"/>
              </w:rPr>
            </w:pPr>
            <w:r w:rsidRPr="00574F96">
              <w:rPr>
                <w:sz w:val="14"/>
                <w:szCs w:val="14"/>
              </w:rPr>
              <w:t>0</w:t>
            </w:r>
          </w:p>
        </w:tc>
        <w:tc>
          <w:tcPr>
            <w:tcW w:w="992" w:type="dxa"/>
            <w:tcBorders>
              <w:top w:val="single" w:sz="4" w:space="0" w:color="auto"/>
              <w:bottom w:val="nil"/>
            </w:tcBorders>
          </w:tcPr>
          <w:p w14:paraId="3B3D02C0" w14:textId="77777777" w:rsidR="007E63DD" w:rsidRPr="00574F96" w:rsidRDefault="007E63DD" w:rsidP="00806BB7">
            <w:pPr>
              <w:pStyle w:val="Tables"/>
              <w:jc w:val="center"/>
              <w:rPr>
                <w:sz w:val="14"/>
                <w:szCs w:val="14"/>
              </w:rPr>
            </w:pPr>
            <w:r w:rsidRPr="00574F96">
              <w:rPr>
                <w:sz w:val="14"/>
                <w:szCs w:val="14"/>
              </w:rPr>
              <w:t>1</w:t>
            </w:r>
          </w:p>
        </w:tc>
        <w:tc>
          <w:tcPr>
            <w:tcW w:w="1512" w:type="dxa"/>
            <w:tcBorders>
              <w:top w:val="single" w:sz="4" w:space="0" w:color="auto"/>
              <w:bottom w:val="nil"/>
            </w:tcBorders>
          </w:tcPr>
          <w:p w14:paraId="2E9F5E9C" w14:textId="77777777" w:rsidR="007E63DD" w:rsidRPr="00574F96" w:rsidRDefault="007E63DD" w:rsidP="00806BB7">
            <w:pPr>
              <w:pStyle w:val="Tables"/>
              <w:jc w:val="center"/>
              <w:rPr>
                <w:sz w:val="14"/>
                <w:szCs w:val="14"/>
              </w:rPr>
            </w:pPr>
            <w:r w:rsidRPr="00574F96">
              <w:rPr>
                <w:sz w:val="14"/>
                <w:szCs w:val="14"/>
              </w:rPr>
              <w:t>3/4</w:t>
            </w:r>
          </w:p>
        </w:tc>
        <w:tc>
          <w:tcPr>
            <w:tcW w:w="1465" w:type="dxa"/>
            <w:tcBorders>
              <w:top w:val="single" w:sz="4" w:space="0" w:color="auto"/>
              <w:bottom w:val="nil"/>
            </w:tcBorders>
          </w:tcPr>
          <w:p w14:paraId="32FD5EDD" w14:textId="77777777" w:rsidR="007E63DD" w:rsidRPr="00574F96" w:rsidRDefault="007E63DD" w:rsidP="00806BB7">
            <w:pPr>
              <w:pStyle w:val="Tables"/>
              <w:jc w:val="center"/>
              <w:rPr>
                <w:sz w:val="14"/>
                <w:szCs w:val="14"/>
              </w:rPr>
            </w:pPr>
            <w:r w:rsidRPr="00574F96">
              <w:rPr>
                <w:sz w:val="14"/>
                <w:szCs w:val="14"/>
              </w:rPr>
              <w:t>3/3</w:t>
            </w:r>
          </w:p>
        </w:tc>
        <w:tc>
          <w:tcPr>
            <w:tcW w:w="1430" w:type="dxa"/>
            <w:tcBorders>
              <w:top w:val="single" w:sz="4" w:space="0" w:color="auto"/>
              <w:bottom w:val="nil"/>
            </w:tcBorders>
          </w:tcPr>
          <w:p w14:paraId="3D2D161B" w14:textId="77777777" w:rsidR="007E63DD" w:rsidRPr="00574F96" w:rsidRDefault="007E63DD" w:rsidP="00806BB7">
            <w:pPr>
              <w:pStyle w:val="Tables"/>
              <w:jc w:val="center"/>
              <w:rPr>
                <w:sz w:val="14"/>
                <w:szCs w:val="14"/>
              </w:rPr>
            </w:pPr>
            <w:r w:rsidRPr="00574F96">
              <w:rPr>
                <w:sz w:val="14"/>
                <w:szCs w:val="14"/>
              </w:rPr>
              <w:t>3/4</w:t>
            </w:r>
          </w:p>
        </w:tc>
        <w:tc>
          <w:tcPr>
            <w:tcW w:w="1372" w:type="dxa"/>
            <w:tcBorders>
              <w:top w:val="single" w:sz="4" w:space="0" w:color="auto"/>
              <w:bottom w:val="nil"/>
            </w:tcBorders>
          </w:tcPr>
          <w:p w14:paraId="05B5F123" w14:textId="77777777" w:rsidR="007E63DD" w:rsidRPr="00574F96" w:rsidRDefault="007E63DD" w:rsidP="00806BB7">
            <w:pPr>
              <w:pStyle w:val="Tables"/>
              <w:jc w:val="center"/>
              <w:rPr>
                <w:sz w:val="14"/>
                <w:szCs w:val="14"/>
              </w:rPr>
            </w:pPr>
            <w:r w:rsidRPr="00574F96">
              <w:rPr>
                <w:sz w:val="14"/>
                <w:szCs w:val="14"/>
              </w:rPr>
              <w:t>3/3</w:t>
            </w:r>
          </w:p>
        </w:tc>
        <w:tc>
          <w:tcPr>
            <w:tcW w:w="794" w:type="dxa"/>
            <w:tcBorders>
              <w:top w:val="single" w:sz="4" w:space="0" w:color="auto"/>
              <w:bottom w:val="nil"/>
            </w:tcBorders>
          </w:tcPr>
          <w:p w14:paraId="2FF091B3" w14:textId="77777777" w:rsidR="007E63DD" w:rsidRPr="00574F96" w:rsidRDefault="007E63DD" w:rsidP="00806BB7">
            <w:pPr>
              <w:pStyle w:val="Tables"/>
              <w:jc w:val="center"/>
              <w:rPr>
                <w:sz w:val="14"/>
                <w:szCs w:val="14"/>
              </w:rPr>
            </w:pPr>
            <w:r w:rsidRPr="00574F96">
              <w:rPr>
                <w:sz w:val="14"/>
                <w:szCs w:val="14"/>
              </w:rPr>
              <w:t>14</w:t>
            </w:r>
          </w:p>
        </w:tc>
      </w:tr>
      <w:tr w:rsidR="007E63DD" w:rsidRPr="00E71562" w14:paraId="379FC464" w14:textId="77777777" w:rsidTr="00574F96">
        <w:tc>
          <w:tcPr>
            <w:tcW w:w="1109" w:type="dxa"/>
            <w:tcBorders>
              <w:top w:val="nil"/>
              <w:bottom w:val="nil"/>
            </w:tcBorders>
          </w:tcPr>
          <w:p w14:paraId="480EC257" w14:textId="77777777" w:rsidR="007E63DD" w:rsidRPr="00574F96" w:rsidRDefault="007E63DD" w:rsidP="00DD4734">
            <w:pPr>
              <w:pStyle w:val="Tables"/>
              <w:rPr>
                <w:sz w:val="14"/>
                <w:szCs w:val="14"/>
              </w:rPr>
            </w:pPr>
            <w:r w:rsidRPr="00574F96">
              <w:rPr>
                <w:sz w:val="14"/>
                <w:szCs w:val="14"/>
              </w:rPr>
              <w:t>DiFillipo, 2008</w:t>
            </w:r>
          </w:p>
        </w:tc>
        <w:tc>
          <w:tcPr>
            <w:tcW w:w="1301" w:type="dxa"/>
            <w:tcBorders>
              <w:top w:val="nil"/>
              <w:bottom w:val="nil"/>
            </w:tcBorders>
          </w:tcPr>
          <w:p w14:paraId="794261A3" w14:textId="77777777" w:rsidR="007E63DD" w:rsidRPr="00574F96" w:rsidRDefault="007E63DD" w:rsidP="00806BB7">
            <w:pPr>
              <w:pStyle w:val="Tables"/>
              <w:jc w:val="center"/>
              <w:rPr>
                <w:sz w:val="14"/>
                <w:szCs w:val="14"/>
              </w:rPr>
            </w:pPr>
            <w:r w:rsidRPr="00574F96">
              <w:rPr>
                <w:sz w:val="14"/>
                <w:szCs w:val="14"/>
              </w:rPr>
              <w:t>3</w:t>
            </w:r>
          </w:p>
        </w:tc>
        <w:tc>
          <w:tcPr>
            <w:tcW w:w="709" w:type="dxa"/>
            <w:tcBorders>
              <w:top w:val="nil"/>
              <w:bottom w:val="nil"/>
            </w:tcBorders>
          </w:tcPr>
          <w:p w14:paraId="02A8A8D9" w14:textId="77777777" w:rsidR="007E63DD" w:rsidRPr="00574F96" w:rsidRDefault="007E63DD" w:rsidP="00806BB7">
            <w:pPr>
              <w:pStyle w:val="Tables"/>
              <w:jc w:val="center"/>
              <w:rPr>
                <w:sz w:val="14"/>
                <w:szCs w:val="14"/>
              </w:rPr>
            </w:pPr>
            <w:r w:rsidRPr="00574F96">
              <w:rPr>
                <w:sz w:val="14"/>
                <w:szCs w:val="14"/>
              </w:rPr>
              <w:t>0</w:t>
            </w:r>
          </w:p>
        </w:tc>
        <w:tc>
          <w:tcPr>
            <w:tcW w:w="992" w:type="dxa"/>
            <w:tcBorders>
              <w:top w:val="nil"/>
              <w:bottom w:val="nil"/>
            </w:tcBorders>
          </w:tcPr>
          <w:p w14:paraId="1B623F69" w14:textId="77777777" w:rsidR="007E63DD" w:rsidRPr="00574F96" w:rsidRDefault="007E63DD" w:rsidP="00806BB7">
            <w:pPr>
              <w:pStyle w:val="Tables"/>
              <w:jc w:val="center"/>
              <w:rPr>
                <w:sz w:val="14"/>
                <w:szCs w:val="14"/>
              </w:rPr>
            </w:pPr>
            <w:r w:rsidRPr="00574F96">
              <w:rPr>
                <w:sz w:val="14"/>
                <w:szCs w:val="14"/>
              </w:rPr>
              <w:t>3</w:t>
            </w:r>
          </w:p>
        </w:tc>
        <w:tc>
          <w:tcPr>
            <w:tcW w:w="1512" w:type="dxa"/>
            <w:tcBorders>
              <w:top w:val="nil"/>
              <w:bottom w:val="nil"/>
            </w:tcBorders>
          </w:tcPr>
          <w:p w14:paraId="232769ED" w14:textId="77777777" w:rsidR="007E63DD" w:rsidRPr="00574F96" w:rsidRDefault="007E63DD" w:rsidP="00806BB7">
            <w:pPr>
              <w:pStyle w:val="Tables"/>
              <w:jc w:val="center"/>
              <w:rPr>
                <w:sz w:val="14"/>
                <w:szCs w:val="14"/>
              </w:rPr>
            </w:pPr>
            <w:r w:rsidRPr="00574F96">
              <w:rPr>
                <w:sz w:val="14"/>
                <w:szCs w:val="14"/>
              </w:rPr>
              <w:t>4/4</w:t>
            </w:r>
          </w:p>
        </w:tc>
        <w:tc>
          <w:tcPr>
            <w:tcW w:w="1465" w:type="dxa"/>
            <w:tcBorders>
              <w:top w:val="nil"/>
              <w:bottom w:val="nil"/>
            </w:tcBorders>
          </w:tcPr>
          <w:p w14:paraId="3A177E38" w14:textId="77777777" w:rsidR="007E63DD" w:rsidRPr="00574F96" w:rsidRDefault="007E63DD" w:rsidP="00806BB7">
            <w:pPr>
              <w:pStyle w:val="Tables"/>
              <w:jc w:val="center"/>
              <w:rPr>
                <w:sz w:val="14"/>
                <w:szCs w:val="14"/>
              </w:rPr>
            </w:pPr>
            <w:r w:rsidRPr="00574F96">
              <w:rPr>
                <w:sz w:val="14"/>
                <w:szCs w:val="14"/>
              </w:rPr>
              <w:t>2/3</w:t>
            </w:r>
          </w:p>
        </w:tc>
        <w:tc>
          <w:tcPr>
            <w:tcW w:w="1430" w:type="dxa"/>
            <w:tcBorders>
              <w:top w:val="nil"/>
              <w:bottom w:val="nil"/>
            </w:tcBorders>
          </w:tcPr>
          <w:p w14:paraId="3251EB02" w14:textId="77777777" w:rsidR="007E63DD" w:rsidRPr="00574F96" w:rsidRDefault="007E63DD" w:rsidP="00806BB7">
            <w:pPr>
              <w:pStyle w:val="Tables"/>
              <w:jc w:val="center"/>
              <w:rPr>
                <w:sz w:val="14"/>
                <w:szCs w:val="14"/>
              </w:rPr>
            </w:pPr>
            <w:r w:rsidRPr="00574F96">
              <w:rPr>
                <w:sz w:val="14"/>
                <w:szCs w:val="14"/>
              </w:rPr>
              <w:t>3/4</w:t>
            </w:r>
          </w:p>
        </w:tc>
        <w:tc>
          <w:tcPr>
            <w:tcW w:w="1372" w:type="dxa"/>
            <w:tcBorders>
              <w:top w:val="nil"/>
              <w:bottom w:val="nil"/>
            </w:tcBorders>
          </w:tcPr>
          <w:p w14:paraId="0BB17C34" w14:textId="77777777" w:rsidR="007E63DD" w:rsidRPr="00574F96" w:rsidRDefault="007E63DD" w:rsidP="00806BB7">
            <w:pPr>
              <w:pStyle w:val="Tables"/>
              <w:jc w:val="center"/>
              <w:rPr>
                <w:sz w:val="14"/>
                <w:szCs w:val="14"/>
              </w:rPr>
            </w:pPr>
            <w:r w:rsidRPr="00574F96">
              <w:rPr>
                <w:sz w:val="14"/>
                <w:szCs w:val="14"/>
              </w:rPr>
              <w:t>3/3</w:t>
            </w:r>
          </w:p>
        </w:tc>
        <w:tc>
          <w:tcPr>
            <w:tcW w:w="794" w:type="dxa"/>
            <w:tcBorders>
              <w:top w:val="nil"/>
              <w:bottom w:val="nil"/>
            </w:tcBorders>
          </w:tcPr>
          <w:p w14:paraId="32F68D84" w14:textId="77777777" w:rsidR="007E63DD" w:rsidRPr="00574F96" w:rsidRDefault="007E63DD" w:rsidP="00806BB7">
            <w:pPr>
              <w:pStyle w:val="Tables"/>
              <w:jc w:val="center"/>
              <w:rPr>
                <w:sz w:val="14"/>
                <w:szCs w:val="14"/>
              </w:rPr>
            </w:pPr>
            <w:r w:rsidRPr="00574F96">
              <w:rPr>
                <w:sz w:val="14"/>
                <w:szCs w:val="14"/>
              </w:rPr>
              <w:t>17</w:t>
            </w:r>
          </w:p>
        </w:tc>
      </w:tr>
      <w:tr w:rsidR="007E63DD" w:rsidRPr="00E71562" w14:paraId="24D8945D" w14:textId="77777777" w:rsidTr="00574F96">
        <w:tc>
          <w:tcPr>
            <w:tcW w:w="1109" w:type="dxa"/>
            <w:tcBorders>
              <w:top w:val="nil"/>
              <w:bottom w:val="nil"/>
            </w:tcBorders>
          </w:tcPr>
          <w:p w14:paraId="073DF617" w14:textId="77777777" w:rsidR="007E63DD" w:rsidRPr="00574F96" w:rsidRDefault="007E63DD" w:rsidP="00DD4734">
            <w:pPr>
              <w:pStyle w:val="Tables"/>
              <w:rPr>
                <w:sz w:val="14"/>
                <w:szCs w:val="14"/>
              </w:rPr>
            </w:pPr>
            <w:r w:rsidRPr="00574F96">
              <w:rPr>
                <w:sz w:val="14"/>
                <w:szCs w:val="14"/>
              </w:rPr>
              <w:t>Oganian, 2010</w:t>
            </w:r>
          </w:p>
        </w:tc>
        <w:tc>
          <w:tcPr>
            <w:tcW w:w="1301" w:type="dxa"/>
            <w:tcBorders>
              <w:top w:val="nil"/>
              <w:bottom w:val="nil"/>
            </w:tcBorders>
          </w:tcPr>
          <w:p w14:paraId="6F1687F3" w14:textId="77777777" w:rsidR="007E63DD" w:rsidRPr="00574F96" w:rsidRDefault="007E63DD" w:rsidP="00806BB7">
            <w:pPr>
              <w:pStyle w:val="Tables"/>
              <w:jc w:val="center"/>
              <w:rPr>
                <w:sz w:val="14"/>
                <w:szCs w:val="14"/>
              </w:rPr>
            </w:pPr>
            <w:r w:rsidRPr="00574F96">
              <w:rPr>
                <w:sz w:val="14"/>
                <w:szCs w:val="14"/>
              </w:rPr>
              <w:t>2</w:t>
            </w:r>
          </w:p>
        </w:tc>
        <w:tc>
          <w:tcPr>
            <w:tcW w:w="709" w:type="dxa"/>
            <w:tcBorders>
              <w:top w:val="nil"/>
              <w:bottom w:val="nil"/>
            </w:tcBorders>
          </w:tcPr>
          <w:p w14:paraId="4E6A6CF0" w14:textId="77777777" w:rsidR="007E63DD" w:rsidRPr="00574F96" w:rsidRDefault="007E63DD" w:rsidP="00806BB7">
            <w:pPr>
              <w:pStyle w:val="Tables"/>
              <w:jc w:val="center"/>
              <w:rPr>
                <w:sz w:val="14"/>
                <w:szCs w:val="14"/>
              </w:rPr>
            </w:pPr>
            <w:r w:rsidRPr="00574F96">
              <w:rPr>
                <w:sz w:val="14"/>
                <w:szCs w:val="14"/>
              </w:rPr>
              <w:t>0</w:t>
            </w:r>
          </w:p>
        </w:tc>
        <w:tc>
          <w:tcPr>
            <w:tcW w:w="992" w:type="dxa"/>
            <w:tcBorders>
              <w:top w:val="nil"/>
              <w:bottom w:val="nil"/>
            </w:tcBorders>
          </w:tcPr>
          <w:p w14:paraId="63E2102C" w14:textId="77777777" w:rsidR="007E63DD" w:rsidRPr="00574F96" w:rsidRDefault="007E63DD" w:rsidP="00806BB7">
            <w:pPr>
              <w:pStyle w:val="Tables"/>
              <w:jc w:val="center"/>
              <w:rPr>
                <w:sz w:val="14"/>
                <w:szCs w:val="14"/>
              </w:rPr>
            </w:pPr>
            <w:r w:rsidRPr="00574F96">
              <w:rPr>
                <w:sz w:val="14"/>
                <w:szCs w:val="14"/>
              </w:rPr>
              <w:t>1</w:t>
            </w:r>
          </w:p>
        </w:tc>
        <w:tc>
          <w:tcPr>
            <w:tcW w:w="1512" w:type="dxa"/>
            <w:tcBorders>
              <w:top w:val="nil"/>
              <w:bottom w:val="nil"/>
            </w:tcBorders>
          </w:tcPr>
          <w:p w14:paraId="729351C8" w14:textId="77777777" w:rsidR="007E63DD" w:rsidRPr="00574F96" w:rsidRDefault="007E63DD" w:rsidP="00806BB7">
            <w:pPr>
              <w:pStyle w:val="Tables"/>
              <w:jc w:val="center"/>
              <w:rPr>
                <w:sz w:val="14"/>
                <w:szCs w:val="14"/>
              </w:rPr>
            </w:pPr>
            <w:r w:rsidRPr="00574F96">
              <w:rPr>
                <w:sz w:val="14"/>
                <w:szCs w:val="14"/>
              </w:rPr>
              <w:t>3/4</w:t>
            </w:r>
          </w:p>
        </w:tc>
        <w:tc>
          <w:tcPr>
            <w:tcW w:w="1465" w:type="dxa"/>
            <w:tcBorders>
              <w:top w:val="nil"/>
              <w:bottom w:val="nil"/>
            </w:tcBorders>
          </w:tcPr>
          <w:p w14:paraId="18B551C8" w14:textId="77777777" w:rsidR="007E63DD" w:rsidRPr="00574F96" w:rsidRDefault="007E63DD" w:rsidP="00806BB7">
            <w:pPr>
              <w:pStyle w:val="Tables"/>
              <w:jc w:val="center"/>
              <w:rPr>
                <w:sz w:val="14"/>
                <w:szCs w:val="14"/>
              </w:rPr>
            </w:pPr>
            <w:r w:rsidRPr="00574F96">
              <w:rPr>
                <w:sz w:val="14"/>
                <w:szCs w:val="14"/>
              </w:rPr>
              <w:t>2/3</w:t>
            </w:r>
          </w:p>
        </w:tc>
        <w:tc>
          <w:tcPr>
            <w:tcW w:w="1430" w:type="dxa"/>
            <w:tcBorders>
              <w:top w:val="nil"/>
              <w:bottom w:val="nil"/>
            </w:tcBorders>
          </w:tcPr>
          <w:p w14:paraId="7F0F1D53" w14:textId="77777777" w:rsidR="007E63DD" w:rsidRPr="00574F96" w:rsidRDefault="007E63DD" w:rsidP="00806BB7">
            <w:pPr>
              <w:pStyle w:val="Tables"/>
              <w:jc w:val="center"/>
              <w:rPr>
                <w:sz w:val="14"/>
                <w:szCs w:val="14"/>
              </w:rPr>
            </w:pPr>
            <w:r w:rsidRPr="00574F96">
              <w:rPr>
                <w:sz w:val="14"/>
                <w:szCs w:val="14"/>
              </w:rPr>
              <w:t>3/4</w:t>
            </w:r>
          </w:p>
        </w:tc>
        <w:tc>
          <w:tcPr>
            <w:tcW w:w="1372" w:type="dxa"/>
            <w:tcBorders>
              <w:top w:val="nil"/>
              <w:bottom w:val="nil"/>
            </w:tcBorders>
          </w:tcPr>
          <w:p w14:paraId="01E4F7C9" w14:textId="77777777" w:rsidR="007E63DD" w:rsidRPr="00574F96" w:rsidRDefault="007E63DD" w:rsidP="00806BB7">
            <w:pPr>
              <w:pStyle w:val="Tables"/>
              <w:jc w:val="center"/>
              <w:rPr>
                <w:sz w:val="14"/>
                <w:szCs w:val="14"/>
              </w:rPr>
            </w:pPr>
            <w:r w:rsidRPr="00574F96">
              <w:rPr>
                <w:sz w:val="14"/>
                <w:szCs w:val="14"/>
              </w:rPr>
              <w:t>3/3</w:t>
            </w:r>
          </w:p>
        </w:tc>
        <w:tc>
          <w:tcPr>
            <w:tcW w:w="794" w:type="dxa"/>
            <w:tcBorders>
              <w:top w:val="nil"/>
              <w:bottom w:val="nil"/>
            </w:tcBorders>
          </w:tcPr>
          <w:p w14:paraId="48028C99" w14:textId="77777777" w:rsidR="007E63DD" w:rsidRPr="00574F96" w:rsidRDefault="007E63DD" w:rsidP="00806BB7">
            <w:pPr>
              <w:pStyle w:val="Tables"/>
              <w:jc w:val="center"/>
              <w:rPr>
                <w:sz w:val="14"/>
                <w:szCs w:val="14"/>
              </w:rPr>
            </w:pPr>
            <w:r w:rsidRPr="00574F96">
              <w:rPr>
                <w:sz w:val="14"/>
                <w:szCs w:val="14"/>
              </w:rPr>
              <w:t>14</w:t>
            </w:r>
          </w:p>
        </w:tc>
      </w:tr>
      <w:tr w:rsidR="007E63DD" w:rsidRPr="00E71562" w14:paraId="6E8FFDA1" w14:textId="77777777" w:rsidTr="00574F96">
        <w:tc>
          <w:tcPr>
            <w:tcW w:w="1109" w:type="dxa"/>
            <w:tcBorders>
              <w:top w:val="nil"/>
              <w:bottom w:val="nil"/>
            </w:tcBorders>
          </w:tcPr>
          <w:p w14:paraId="23C088E8" w14:textId="77777777" w:rsidR="007E63DD" w:rsidRPr="00574F96" w:rsidRDefault="007E63DD" w:rsidP="00DD4734">
            <w:pPr>
              <w:pStyle w:val="Tables"/>
              <w:rPr>
                <w:sz w:val="14"/>
                <w:szCs w:val="14"/>
              </w:rPr>
            </w:pPr>
            <w:r w:rsidRPr="00574F96">
              <w:rPr>
                <w:sz w:val="14"/>
                <w:szCs w:val="14"/>
              </w:rPr>
              <w:t>Wijnen, 2012</w:t>
            </w:r>
          </w:p>
        </w:tc>
        <w:tc>
          <w:tcPr>
            <w:tcW w:w="1301" w:type="dxa"/>
            <w:tcBorders>
              <w:top w:val="nil"/>
              <w:bottom w:val="nil"/>
            </w:tcBorders>
          </w:tcPr>
          <w:p w14:paraId="2C50ECF2" w14:textId="77777777" w:rsidR="007E63DD" w:rsidRPr="00574F96" w:rsidRDefault="007E63DD" w:rsidP="00806BB7">
            <w:pPr>
              <w:pStyle w:val="Tables"/>
              <w:jc w:val="center"/>
              <w:rPr>
                <w:sz w:val="14"/>
                <w:szCs w:val="14"/>
              </w:rPr>
            </w:pPr>
            <w:r w:rsidRPr="00574F96">
              <w:rPr>
                <w:sz w:val="14"/>
                <w:szCs w:val="14"/>
              </w:rPr>
              <w:t>1</w:t>
            </w:r>
          </w:p>
        </w:tc>
        <w:tc>
          <w:tcPr>
            <w:tcW w:w="709" w:type="dxa"/>
            <w:tcBorders>
              <w:top w:val="nil"/>
              <w:bottom w:val="nil"/>
            </w:tcBorders>
          </w:tcPr>
          <w:p w14:paraId="379ED063" w14:textId="77777777" w:rsidR="007E63DD" w:rsidRPr="00574F96" w:rsidRDefault="007E63DD" w:rsidP="00806BB7">
            <w:pPr>
              <w:pStyle w:val="Tables"/>
              <w:jc w:val="center"/>
              <w:rPr>
                <w:sz w:val="14"/>
                <w:szCs w:val="14"/>
              </w:rPr>
            </w:pPr>
            <w:r w:rsidRPr="00574F96">
              <w:rPr>
                <w:sz w:val="14"/>
                <w:szCs w:val="14"/>
              </w:rPr>
              <w:t>0</w:t>
            </w:r>
          </w:p>
        </w:tc>
        <w:tc>
          <w:tcPr>
            <w:tcW w:w="992" w:type="dxa"/>
            <w:tcBorders>
              <w:top w:val="nil"/>
              <w:bottom w:val="nil"/>
            </w:tcBorders>
          </w:tcPr>
          <w:p w14:paraId="62AD42F3" w14:textId="77777777" w:rsidR="007E63DD" w:rsidRPr="00574F96" w:rsidRDefault="007E63DD" w:rsidP="00806BB7">
            <w:pPr>
              <w:pStyle w:val="Tables"/>
              <w:jc w:val="center"/>
              <w:rPr>
                <w:sz w:val="14"/>
                <w:szCs w:val="14"/>
              </w:rPr>
            </w:pPr>
            <w:r w:rsidRPr="00574F96">
              <w:rPr>
                <w:sz w:val="14"/>
                <w:szCs w:val="14"/>
              </w:rPr>
              <w:t>1</w:t>
            </w:r>
          </w:p>
        </w:tc>
        <w:tc>
          <w:tcPr>
            <w:tcW w:w="1512" w:type="dxa"/>
            <w:tcBorders>
              <w:top w:val="nil"/>
              <w:bottom w:val="nil"/>
            </w:tcBorders>
          </w:tcPr>
          <w:p w14:paraId="2BEE4E14" w14:textId="77777777" w:rsidR="007E63DD" w:rsidRPr="00574F96" w:rsidRDefault="007E63DD" w:rsidP="00806BB7">
            <w:pPr>
              <w:pStyle w:val="Tables"/>
              <w:jc w:val="center"/>
              <w:rPr>
                <w:sz w:val="14"/>
                <w:szCs w:val="14"/>
              </w:rPr>
            </w:pPr>
            <w:r w:rsidRPr="00574F96">
              <w:rPr>
                <w:sz w:val="14"/>
                <w:szCs w:val="14"/>
              </w:rPr>
              <w:t>3/4</w:t>
            </w:r>
          </w:p>
        </w:tc>
        <w:tc>
          <w:tcPr>
            <w:tcW w:w="1465" w:type="dxa"/>
            <w:tcBorders>
              <w:top w:val="nil"/>
              <w:bottom w:val="nil"/>
            </w:tcBorders>
          </w:tcPr>
          <w:p w14:paraId="70361B05" w14:textId="77777777" w:rsidR="007E63DD" w:rsidRPr="00574F96" w:rsidRDefault="007E63DD" w:rsidP="00806BB7">
            <w:pPr>
              <w:pStyle w:val="Tables"/>
              <w:jc w:val="center"/>
              <w:rPr>
                <w:sz w:val="14"/>
                <w:szCs w:val="14"/>
              </w:rPr>
            </w:pPr>
            <w:r w:rsidRPr="00574F96">
              <w:rPr>
                <w:sz w:val="14"/>
                <w:szCs w:val="14"/>
              </w:rPr>
              <w:t>3/3</w:t>
            </w:r>
          </w:p>
        </w:tc>
        <w:tc>
          <w:tcPr>
            <w:tcW w:w="1430" w:type="dxa"/>
            <w:tcBorders>
              <w:top w:val="nil"/>
              <w:bottom w:val="nil"/>
            </w:tcBorders>
          </w:tcPr>
          <w:p w14:paraId="66B79323" w14:textId="77777777" w:rsidR="007E63DD" w:rsidRPr="00574F96" w:rsidRDefault="007E63DD" w:rsidP="00806BB7">
            <w:pPr>
              <w:pStyle w:val="Tables"/>
              <w:jc w:val="center"/>
              <w:rPr>
                <w:sz w:val="14"/>
                <w:szCs w:val="14"/>
              </w:rPr>
            </w:pPr>
            <w:r w:rsidRPr="00574F96">
              <w:rPr>
                <w:sz w:val="14"/>
                <w:szCs w:val="14"/>
              </w:rPr>
              <w:t>3/4</w:t>
            </w:r>
          </w:p>
        </w:tc>
        <w:tc>
          <w:tcPr>
            <w:tcW w:w="1372" w:type="dxa"/>
            <w:tcBorders>
              <w:top w:val="nil"/>
              <w:bottom w:val="nil"/>
            </w:tcBorders>
          </w:tcPr>
          <w:p w14:paraId="2B949D87" w14:textId="77777777" w:rsidR="007E63DD" w:rsidRPr="00574F96" w:rsidRDefault="007E63DD" w:rsidP="00806BB7">
            <w:pPr>
              <w:pStyle w:val="Tables"/>
              <w:jc w:val="center"/>
              <w:rPr>
                <w:sz w:val="14"/>
                <w:szCs w:val="14"/>
              </w:rPr>
            </w:pPr>
            <w:r w:rsidRPr="00574F96">
              <w:rPr>
                <w:sz w:val="14"/>
                <w:szCs w:val="14"/>
              </w:rPr>
              <w:t>3/3</w:t>
            </w:r>
          </w:p>
        </w:tc>
        <w:tc>
          <w:tcPr>
            <w:tcW w:w="794" w:type="dxa"/>
            <w:tcBorders>
              <w:top w:val="nil"/>
              <w:bottom w:val="nil"/>
            </w:tcBorders>
          </w:tcPr>
          <w:p w14:paraId="7F6C0886" w14:textId="77777777" w:rsidR="007E63DD" w:rsidRPr="00574F96" w:rsidRDefault="007E63DD" w:rsidP="00806BB7">
            <w:pPr>
              <w:pStyle w:val="Tables"/>
              <w:jc w:val="center"/>
              <w:rPr>
                <w:sz w:val="14"/>
                <w:szCs w:val="14"/>
              </w:rPr>
            </w:pPr>
            <w:r w:rsidRPr="00574F96">
              <w:rPr>
                <w:sz w:val="14"/>
                <w:szCs w:val="14"/>
              </w:rPr>
              <w:t>14</w:t>
            </w:r>
          </w:p>
        </w:tc>
      </w:tr>
      <w:tr w:rsidR="007E63DD" w:rsidRPr="00E71562" w14:paraId="5B26B604" w14:textId="77777777" w:rsidTr="00574F96">
        <w:tc>
          <w:tcPr>
            <w:tcW w:w="1109" w:type="dxa"/>
            <w:tcBorders>
              <w:top w:val="nil"/>
              <w:bottom w:val="nil"/>
            </w:tcBorders>
          </w:tcPr>
          <w:p w14:paraId="2501FA8F" w14:textId="77777777" w:rsidR="007E63DD" w:rsidRPr="00574F96" w:rsidRDefault="007E63DD" w:rsidP="00DD4734">
            <w:pPr>
              <w:pStyle w:val="Tables"/>
              <w:rPr>
                <w:sz w:val="14"/>
                <w:szCs w:val="14"/>
              </w:rPr>
            </w:pPr>
            <w:r w:rsidRPr="00574F96">
              <w:rPr>
                <w:sz w:val="14"/>
                <w:szCs w:val="14"/>
              </w:rPr>
              <w:t>Agus, 2014</w:t>
            </w:r>
          </w:p>
        </w:tc>
        <w:tc>
          <w:tcPr>
            <w:tcW w:w="1301" w:type="dxa"/>
            <w:tcBorders>
              <w:top w:val="nil"/>
              <w:bottom w:val="nil"/>
            </w:tcBorders>
          </w:tcPr>
          <w:p w14:paraId="57F5F72C" w14:textId="77777777" w:rsidR="007E63DD" w:rsidRPr="00574F96" w:rsidRDefault="007E63DD" w:rsidP="00806BB7">
            <w:pPr>
              <w:pStyle w:val="Tables"/>
              <w:jc w:val="center"/>
              <w:rPr>
                <w:sz w:val="14"/>
                <w:szCs w:val="14"/>
              </w:rPr>
            </w:pPr>
            <w:r w:rsidRPr="00574F96">
              <w:rPr>
                <w:sz w:val="14"/>
                <w:szCs w:val="14"/>
              </w:rPr>
              <w:t>2</w:t>
            </w:r>
          </w:p>
        </w:tc>
        <w:tc>
          <w:tcPr>
            <w:tcW w:w="709" w:type="dxa"/>
            <w:tcBorders>
              <w:top w:val="nil"/>
              <w:bottom w:val="nil"/>
            </w:tcBorders>
          </w:tcPr>
          <w:p w14:paraId="121827CE" w14:textId="77777777" w:rsidR="007E63DD" w:rsidRPr="00574F96" w:rsidRDefault="007E63DD" w:rsidP="00806BB7">
            <w:pPr>
              <w:pStyle w:val="Tables"/>
              <w:jc w:val="center"/>
              <w:rPr>
                <w:sz w:val="14"/>
                <w:szCs w:val="14"/>
              </w:rPr>
            </w:pPr>
            <w:r w:rsidRPr="00574F96">
              <w:rPr>
                <w:sz w:val="14"/>
                <w:szCs w:val="14"/>
              </w:rPr>
              <w:t>0</w:t>
            </w:r>
          </w:p>
        </w:tc>
        <w:tc>
          <w:tcPr>
            <w:tcW w:w="992" w:type="dxa"/>
            <w:tcBorders>
              <w:top w:val="nil"/>
              <w:bottom w:val="nil"/>
            </w:tcBorders>
          </w:tcPr>
          <w:p w14:paraId="43BBD4FD" w14:textId="77777777" w:rsidR="007E63DD" w:rsidRPr="00574F96" w:rsidRDefault="007E63DD" w:rsidP="00806BB7">
            <w:pPr>
              <w:pStyle w:val="Tables"/>
              <w:jc w:val="center"/>
              <w:rPr>
                <w:sz w:val="14"/>
                <w:szCs w:val="14"/>
              </w:rPr>
            </w:pPr>
            <w:r w:rsidRPr="00574F96">
              <w:rPr>
                <w:sz w:val="14"/>
                <w:szCs w:val="14"/>
              </w:rPr>
              <w:t>1</w:t>
            </w:r>
          </w:p>
        </w:tc>
        <w:tc>
          <w:tcPr>
            <w:tcW w:w="1512" w:type="dxa"/>
            <w:tcBorders>
              <w:top w:val="nil"/>
              <w:bottom w:val="nil"/>
            </w:tcBorders>
          </w:tcPr>
          <w:p w14:paraId="17E6CEDF" w14:textId="77777777" w:rsidR="007E63DD" w:rsidRPr="00574F96" w:rsidRDefault="007E63DD" w:rsidP="00806BB7">
            <w:pPr>
              <w:pStyle w:val="Tables"/>
              <w:jc w:val="center"/>
              <w:rPr>
                <w:sz w:val="14"/>
                <w:szCs w:val="14"/>
              </w:rPr>
            </w:pPr>
            <w:r w:rsidRPr="00574F96">
              <w:rPr>
                <w:sz w:val="14"/>
                <w:szCs w:val="14"/>
              </w:rPr>
              <w:t>3/4</w:t>
            </w:r>
          </w:p>
        </w:tc>
        <w:tc>
          <w:tcPr>
            <w:tcW w:w="1465" w:type="dxa"/>
            <w:tcBorders>
              <w:top w:val="nil"/>
              <w:bottom w:val="nil"/>
            </w:tcBorders>
          </w:tcPr>
          <w:p w14:paraId="0C9AF624" w14:textId="77777777" w:rsidR="007E63DD" w:rsidRPr="00574F96" w:rsidRDefault="007E63DD" w:rsidP="00806BB7">
            <w:pPr>
              <w:pStyle w:val="Tables"/>
              <w:jc w:val="center"/>
              <w:rPr>
                <w:sz w:val="14"/>
                <w:szCs w:val="14"/>
              </w:rPr>
            </w:pPr>
            <w:r w:rsidRPr="00574F96">
              <w:rPr>
                <w:sz w:val="14"/>
                <w:szCs w:val="14"/>
              </w:rPr>
              <w:t>3/3</w:t>
            </w:r>
          </w:p>
        </w:tc>
        <w:tc>
          <w:tcPr>
            <w:tcW w:w="1430" w:type="dxa"/>
            <w:tcBorders>
              <w:top w:val="nil"/>
              <w:bottom w:val="nil"/>
            </w:tcBorders>
          </w:tcPr>
          <w:p w14:paraId="2FE16E3D" w14:textId="77777777" w:rsidR="007E63DD" w:rsidRPr="00574F96" w:rsidRDefault="007E63DD" w:rsidP="00806BB7">
            <w:pPr>
              <w:pStyle w:val="Tables"/>
              <w:jc w:val="center"/>
              <w:rPr>
                <w:sz w:val="14"/>
                <w:szCs w:val="14"/>
              </w:rPr>
            </w:pPr>
            <w:r w:rsidRPr="00574F96">
              <w:rPr>
                <w:sz w:val="14"/>
                <w:szCs w:val="14"/>
              </w:rPr>
              <w:t>4/4</w:t>
            </w:r>
          </w:p>
        </w:tc>
        <w:tc>
          <w:tcPr>
            <w:tcW w:w="1372" w:type="dxa"/>
            <w:tcBorders>
              <w:top w:val="nil"/>
              <w:bottom w:val="nil"/>
            </w:tcBorders>
          </w:tcPr>
          <w:p w14:paraId="764EE59C" w14:textId="77777777" w:rsidR="007E63DD" w:rsidRPr="00574F96" w:rsidRDefault="007E63DD" w:rsidP="00806BB7">
            <w:pPr>
              <w:pStyle w:val="Tables"/>
              <w:jc w:val="center"/>
              <w:rPr>
                <w:sz w:val="14"/>
                <w:szCs w:val="14"/>
              </w:rPr>
            </w:pPr>
            <w:r w:rsidRPr="00574F96">
              <w:rPr>
                <w:sz w:val="14"/>
                <w:szCs w:val="14"/>
              </w:rPr>
              <w:t>3/3</w:t>
            </w:r>
          </w:p>
        </w:tc>
        <w:tc>
          <w:tcPr>
            <w:tcW w:w="794" w:type="dxa"/>
            <w:tcBorders>
              <w:top w:val="nil"/>
              <w:bottom w:val="nil"/>
            </w:tcBorders>
          </w:tcPr>
          <w:p w14:paraId="4BCB8E81" w14:textId="77777777" w:rsidR="007E63DD" w:rsidRPr="00574F96" w:rsidRDefault="007E63DD" w:rsidP="00806BB7">
            <w:pPr>
              <w:pStyle w:val="Tables"/>
              <w:jc w:val="center"/>
              <w:rPr>
                <w:sz w:val="14"/>
                <w:szCs w:val="14"/>
              </w:rPr>
            </w:pPr>
            <w:r w:rsidRPr="00574F96">
              <w:rPr>
                <w:sz w:val="14"/>
                <w:szCs w:val="14"/>
              </w:rPr>
              <w:t>15</w:t>
            </w:r>
          </w:p>
        </w:tc>
      </w:tr>
      <w:tr w:rsidR="007E63DD" w:rsidRPr="00E71562" w14:paraId="3926C647" w14:textId="77777777" w:rsidTr="00574F96">
        <w:tc>
          <w:tcPr>
            <w:tcW w:w="1109" w:type="dxa"/>
            <w:tcBorders>
              <w:top w:val="nil"/>
              <w:bottom w:val="single" w:sz="4" w:space="0" w:color="auto"/>
            </w:tcBorders>
          </w:tcPr>
          <w:p w14:paraId="77219868" w14:textId="77777777" w:rsidR="007E63DD" w:rsidRPr="00574F96" w:rsidRDefault="007E63DD" w:rsidP="00DD4734">
            <w:pPr>
              <w:pStyle w:val="Tables"/>
              <w:rPr>
                <w:sz w:val="14"/>
                <w:szCs w:val="14"/>
              </w:rPr>
            </w:pPr>
            <w:r w:rsidRPr="00574F96">
              <w:rPr>
                <w:sz w:val="14"/>
                <w:szCs w:val="14"/>
              </w:rPr>
              <w:t>Daikhin, 2017</w:t>
            </w:r>
          </w:p>
        </w:tc>
        <w:tc>
          <w:tcPr>
            <w:tcW w:w="1301" w:type="dxa"/>
            <w:tcBorders>
              <w:top w:val="nil"/>
              <w:bottom w:val="single" w:sz="4" w:space="0" w:color="auto"/>
            </w:tcBorders>
          </w:tcPr>
          <w:p w14:paraId="5EE0CFA1" w14:textId="77777777" w:rsidR="007E63DD" w:rsidRPr="00574F96" w:rsidRDefault="007E63DD" w:rsidP="00806BB7">
            <w:pPr>
              <w:pStyle w:val="Tables"/>
              <w:jc w:val="center"/>
              <w:rPr>
                <w:sz w:val="14"/>
                <w:szCs w:val="14"/>
              </w:rPr>
            </w:pPr>
            <w:r w:rsidRPr="00574F96">
              <w:rPr>
                <w:sz w:val="14"/>
                <w:szCs w:val="14"/>
              </w:rPr>
              <w:t>1</w:t>
            </w:r>
          </w:p>
        </w:tc>
        <w:tc>
          <w:tcPr>
            <w:tcW w:w="709" w:type="dxa"/>
            <w:tcBorders>
              <w:top w:val="nil"/>
              <w:bottom w:val="single" w:sz="4" w:space="0" w:color="auto"/>
            </w:tcBorders>
          </w:tcPr>
          <w:p w14:paraId="718A4B72" w14:textId="77777777" w:rsidR="007E63DD" w:rsidRPr="00574F96" w:rsidRDefault="007E63DD" w:rsidP="00806BB7">
            <w:pPr>
              <w:pStyle w:val="Tables"/>
              <w:jc w:val="center"/>
              <w:rPr>
                <w:sz w:val="14"/>
                <w:szCs w:val="14"/>
              </w:rPr>
            </w:pPr>
            <w:r w:rsidRPr="00574F96">
              <w:rPr>
                <w:sz w:val="14"/>
                <w:szCs w:val="14"/>
              </w:rPr>
              <w:t>0</w:t>
            </w:r>
          </w:p>
        </w:tc>
        <w:tc>
          <w:tcPr>
            <w:tcW w:w="992" w:type="dxa"/>
            <w:tcBorders>
              <w:top w:val="nil"/>
              <w:bottom w:val="single" w:sz="4" w:space="0" w:color="auto"/>
            </w:tcBorders>
          </w:tcPr>
          <w:p w14:paraId="617D4D32" w14:textId="77777777" w:rsidR="007E63DD" w:rsidRPr="00574F96" w:rsidRDefault="007E63DD" w:rsidP="00806BB7">
            <w:pPr>
              <w:pStyle w:val="Tables"/>
              <w:jc w:val="center"/>
              <w:rPr>
                <w:sz w:val="14"/>
                <w:szCs w:val="14"/>
              </w:rPr>
            </w:pPr>
            <w:r w:rsidRPr="00574F96">
              <w:rPr>
                <w:sz w:val="14"/>
                <w:szCs w:val="14"/>
              </w:rPr>
              <w:t>1</w:t>
            </w:r>
          </w:p>
        </w:tc>
        <w:tc>
          <w:tcPr>
            <w:tcW w:w="1512" w:type="dxa"/>
            <w:tcBorders>
              <w:top w:val="nil"/>
              <w:bottom w:val="single" w:sz="4" w:space="0" w:color="auto"/>
            </w:tcBorders>
          </w:tcPr>
          <w:p w14:paraId="1F076FE0" w14:textId="77777777" w:rsidR="007E63DD" w:rsidRPr="00574F96" w:rsidRDefault="007E63DD" w:rsidP="00806BB7">
            <w:pPr>
              <w:pStyle w:val="Tables"/>
              <w:jc w:val="center"/>
              <w:rPr>
                <w:sz w:val="14"/>
                <w:szCs w:val="14"/>
              </w:rPr>
            </w:pPr>
            <w:r w:rsidRPr="00574F96">
              <w:rPr>
                <w:sz w:val="14"/>
                <w:szCs w:val="14"/>
              </w:rPr>
              <w:t>2/4</w:t>
            </w:r>
          </w:p>
        </w:tc>
        <w:tc>
          <w:tcPr>
            <w:tcW w:w="1465" w:type="dxa"/>
            <w:tcBorders>
              <w:top w:val="nil"/>
              <w:bottom w:val="single" w:sz="4" w:space="0" w:color="auto"/>
            </w:tcBorders>
          </w:tcPr>
          <w:p w14:paraId="7B5BAFC0" w14:textId="77777777" w:rsidR="007E63DD" w:rsidRPr="00574F96" w:rsidRDefault="007E63DD" w:rsidP="00806BB7">
            <w:pPr>
              <w:pStyle w:val="Tables"/>
              <w:jc w:val="center"/>
              <w:rPr>
                <w:sz w:val="14"/>
                <w:szCs w:val="14"/>
              </w:rPr>
            </w:pPr>
            <w:r w:rsidRPr="00574F96">
              <w:rPr>
                <w:sz w:val="14"/>
                <w:szCs w:val="14"/>
              </w:rPr>
              <w:t>2/3</w:t>
            </w:r>
          </w:p>
        </w:tc>
        <w:tc>
          <w:tcPr>
            <w:tcW w:w="1430" w:type="dxa"/>
            <w:tcBorders>
              <w:top w:val="nil"/>
              <w:bottom w:val="single" w:sz="4" w:space="0" w:color="auto"/>
            </w:tcBorders>
          </w:tcPr>
          <w:p w14:paraId="07724E9E" w14:textId="77777777" w:rsidR="007E63DD" w:rsidRPr="00574F96" w:rsidRDefault="007E63DD" w:rsidP="00806BB7">
            <w:pPr>
              <w:pStyle w:val="Tables"/>
              <w:jc w:val="center"/>
              <w:rPr>
                <w:sz w:val="14"/>
                <w:szCs w:val="14"/>
              </w:rPr>
            </w:pPr>
            <w:r w:rsidRPr="00574F96">
              <w:rPr>
                <w:sz w:val="14"/>
                <w:szCs w:val="14"/>
              </w:rPr>
              <w:t>3/4</w:t>
            </w:r>
          </w:p>
        </w:tc>
        <w:tc>
          <w:tcPr>
            <w:tcW w:w="1372" w:type="dxa"/>
            <w:tcBorders>
              <w:top w:val="nil"/>
              <w:bottom w:val="single" w:sz="4" w:space="0" w:color="auto"/>
            </w:tcBorders>
          </w:tcPr>
          <w:p w14:paraId="473EAC3C" w14:textId="77777777" w:rsidR="007E63DD" w:rsidRPr="00574F96" w:rsidRDefault="007E63DD" w:rsidP="00806BB7">
            <w:pPr>
              <w:pStyle w:val="Tables"/>
              <w:jc w:val="center"/>
              <w:rPr>
                <w:sz w:val="14"/>
                <w:szCs w:val="14"/>
              </w:rPr>
            </w:pPr>
            <w:r w:rsidRPr="00574F96">
              <w:rPr>
                <w:sz w:val="14"/>
                <w:szCs w:val="14"/>
              </w:rPr>
              <w:t>3/3</w:t>
            </w:r>
          </w:p>
        </w:tc>
        <w:tc>
          <w:tcPr>
            <w:tcW w:w="794" w:type="dxa"/>
            <w:tcBorders>
              <w:top w:val="nil"/>
              <w:bottom w:val="single" w:sz="4" w:space="0" w:color="auto"/>
            </w:tcBorders>
          </w:tcPr>
          <w:p w14:paraId="4A625369" w14:textId="77777777" w:rsidR="007E63DD" w:rsidRPr="00574F96" w:rsidRDefault="007E63DD" w:rsidP="00806BB7">
            <w:pPr>
              <w:pStyle w:val="Tables"/>
              <w:keepNext/>
              <w:jc w:val="center"/>
              <w:rPr>
                <w:sz w:val="14"/>
                <w:szCs w:val="14"/>
              </w:rPr>
            </w:pPr>
            <w:r w:rsidRPr="00574F96">
              <w:rPr>
                <w:sz w:val="14"/>
                <w:szCs w:val="14"/>
              </w:rPr>
              <w:t>12</w:t>
            </w:r>
          </w:p>
        </w:tc>
      </w:tr>
      <w:tr w:rsidR="007E63DD" w:rsidRPr="00E71562" w14:paraId="69691EF5" w14:textId="77777777" w:rsidTr="00574F96">
        <w:tc>
          <w:tcPr>
            <w:tcW w:w="1109" w:type="dxa"/>
            <w:tcBorders>
              <w:top w:val="single" w:sz="4" w:space="0" w:color="auto"/>
            </w:tcBorders>
          </w:tcPr>
          <w:p w14:paraId="1F91512F" w14:textId="77777777" w:rsidR="007E63DD" w:rsidRPr="00574F96" w:rsidRDefault="007E63DD" w:rsidP="00DD4734">
            <w:pPr>
              <w:pStyle w:val="Tables"/>
              <w:rPr>
                <w:sz w:val="14"/>
                <w:szCs w:val="14"/>
              </w:rPr>
            </w:pPr>
          </w:p>
        </w:tc>
        <w:tc>
          <w:tcPr>
            <w:tcW w:w="1301" w:type="dxa"/>
            <w:tcBorders>
              <w:top w:val="single" w:sz="4" w:space="0" w:color="auto"/>
            </w:tcBorders>
          </w:tcPr>
          <w:p w14:paraId="24E4452D" w14:textId="77777777" w:rsidR="007E63DD" w:rsidRPr="00574F96" w:rsidRDefault="007E63DD" w:rsidP="00806BB7">
            <w:pPr>
              <w:pStyle w:val="Tables"/>
              <w:jc w:val="center"/>
              <w:rPr>
                <w:sz w:val="14"/>
                <w:szCs w:val="14"/>
              </w:rPr>
            </w:pPr>
          </w:p>
        </w:tc>
        <w:tc>
          <w:tcPr>
            <w:tcW w:w="709" w:type="dxa"/>
            <w:tcBorders>
              <w:top w:val="single" w:sz="4" w:space="0" w:color="auto"/>
            </w:tcBorders>
          </w:tcPr>
          <w:p w14:paraId="643EA5AA" w14:textId="77777777" w:rsidR="007E63DD" w:rsidRPr="00574F96" w:rsidRDefault="007E63DD" w:rsidP="00806BB7">
            <w:pPr>
              <w:pStyle w:val="Tables"/>
              <w:jc w:val="center"/>
              <w:rPr>
                <w:sz w:val="14"/>
                <w:szCs w:val="14"/>
              </w:rPr>
            </w:pPr>
          </w:p>
        </w:tc>
        <w:tc>
          <w:tcPr>
            <w:tcW w:w="992" w:type="dxa"/>
            <w:tcBorders>
              <w:top w:val="single" w:sz="4" w:space="0" w:color="auto"/>
            </w:tcBorders>
          </w:tcPr>
          <w:p w14:paraId="52664E30" w14:textId="77777777" w:rsidR="007E63DD" w:rsidRPr="00574F96" w:rsidRDefault="007E63DD" w:rsidP="00806BB7">
            <w:pPr>
              <w:pStyle w:val="Tables"/>
              <w:jc w:val="center"/>
              <w:rPr>
                <w:sz w:val="14"/>
                <w:szCs w:val="14"/>
              </w:rPr>
            </w:pPr>
          </w:p>
        </w:tc>
        <w:tc>
          <w:tcPr>
            <w:tcW w:w="1512" w:type="dxa"/>
            <w:tcBorders>
              <w:top w:val="single" w:sz="4" w:space="0" w:color="auto"/>
            </w:tcBorders>
          </w:tcPr>
          <w:p w14:paraId="39D262B3" w14:textId="77777777" w:rsidR="007E63DD" w:rsidRPr="00574F96" w:rsidRDefault="007E63DD" w:rsidP="00806BB7">
            <w:pPr>
              <w:pStyle w:val="Tables"/>
              <w:jc w:val="center"/>
              <w:rPr>
                <w:sz w:val="14"/>
                <w:szCs w:val="14"/>
              </w:rPr>
            </w:pPr>
          </w:p>
        </w:tc>
        <w:tc>
          <w:tcPr>
            <w:tcW w:w="1465" w:type="dxa"/>
            <w:tcBorders>
              <w:top w:val="single" w:sz="4" w:space="0" w:color="auto"/>
            </w:tcBorders>
          </w:tcPr>
          <w:p w14:paraId="57215002" w14:textId="77777777" w:rsidR="007E63DD" w:rsidRPr="00574F96" w:rsidRDefault="007E63DD" w:rsidP="00806BB7">
            <w:pPr>
              <w:pStyle w:val="Tables"/>
              <w:jc w:val="center"/>
              <w:rPr>
                <w:sz w:val="14"/>
                <w:szCs w:val="14"/>
              </w:rPr>
            </w:pPr>
          </w:p>
        </w:tc>
        <w:tc>
          <w:tcPr>
            <w:tcW w:w="1430" w:type="dxa"/>
            <w:tcBorders>
              <w:top w:val="single" w:sz="4" w:space="0" w:color="auto"/>
            </w:tcBorders>
          </w:tcPr>
          <w:p w14:paraId="3407348B" w14:textId="77777777" w:rsidR="007E63DD" w:rsidRPr="00574F96" w:rsidRDefault="007E63DD" w:rsidP="00806BB7">
            <w:pPr>
              <w:pStyle w:val="Tables"/>
              <w:jc w:val="center"/>
              <w:rPr>
                <w:sz w:val="14"/>
                <w:szCs w:val="14"/>
              </w:rPr>
            </w:pPr>
          </w:p>
        </w:tc>
        <w:tc>
          <w:tcPr>
            <w:tcW w:w="1372" w:type="dxa"/>
            <w:tcBorders>
              <w:top w:val="single" w:sz="4" w:space="0" w:color="auto"/>
            </w:tcBorders>
          </w:tcPr>
          <w:p w14:paraId="13778DD8" w14:textId="77777777" w:rsidR="007E63DD" w:rsidRPr="00574F96" w:rsidRDefault="007E63DD" w:rsidP="00806BB7">
            <w:pPr>
              <w:pStyle w:val="Tables"/>
              <w:jc w:val="center"/>
              <w:rPr>
                <w:sz w:val="14"/>
                <w:szCs w:val="14"/>
              </w:rPr>
            </w:pPr>
          </w:p>
        </w:tc>
        <w:tc>
          <w:tcPr>
            <w:tcW w:w="794" w:type="dxa"/>
            <w:tcBorders>
              <w:top w:val="single" w:sz="4" w:space="0" w:color="auto"/>
            </w:tcBorders>
          </w:tcPr>
          <w:p w14:paraId="6C8946AC" w14:textId="77777777" w:rsidR="007E63DD" w:rsidRPr="00574F96" w:rsidRDefault="007E63DD" w:rsidP="00806BB7">
            <w:pPr>
              <w:pStyle w:val="Tables"/>
              <w:keepNext/>
              <w:jc w:val="center"/>
              <w:rPr>
                <w:sz w:val="14"/>
                <w:szCs w:val="14"/>
              </w:rPr>
            </w:pPr>
            <w:r w:rsidRPr="00574F96">
              <w:rPr>
                <w:sz w:val="14"/>
                <w:szCs w:val="14"/>
              </w:rPr>
              <w:t>86</w:t>
            </w:r>
          </w:p>
        </w:tc>
      </w:tr>
    </w:tbl>
    <w:p w14:paraId="0E0E5F62" w14:textId="3145483C" w:rsidR="002E0EA8" w:rsidRPr="00806BB7" w:rsidRDefault="007E63DD" w:rsidP="00806BB7">
      <w:pPr>
        <w:pStyle w:val="Tables"/>
        <w:spacing w:line="480" w:lineRule="auto"/>
        <w:rPr>
          <w:i/>
          <w:sz w:val="24"/>
          <w:szCs w:val="24"/>
        </w:rPr>
      </w:pPr>
      <w:r w:rsidRPr="00806BB7">
        <w:rPr>
          <w:b/>
          <w:sz w:val="24"/>
          <w:szCs w:val="24"/>
        </w:rPr>
        <w:t xml:space="preserve">Table </w:t>
      </w:r>
      <w:r w:rsidR="00F8700E">
        <w:rPr>
          <w:b/>
          <w:sz w:val="24"/>
          <w:szCs w:val="24"/>
        </w:rPr>
        <w:t>1</w:t>
      </w:r>
      <w:r w:rsidRPr="00806BB7">
        <w:rPr>
          <w:sz w:val="24"/>
          <w:szCs w:val="24"/>
        </w:rPr>
        <w:t xml:space="preserve"> </w:t>
      </w:r>
      <w:r w:rsidRPr="00806BB7">
        <w:rPr>
          <w:i/>
          <w:sz w:val="24"/>
          <w:szCs w:val="24"/>
        </w:rPr>
        <w:t>Risk of bias totals</w:t>
      </w:r>
    </w:p>
    <w:p w14:paraId="613110D5" w14:textId="7EF6CDF2" w:rsidR="00CC7A2C" w:rsidRPr="00806BB7" w:rsidRDefault="00CC7A2C" w:rsidP="002E0EA8">
      <w:pPr>
        <w:pStyle w:val="Heading2"/>
        <w:rPr>
          <w:szCs w:val="24"/>
        </w:rPr>
      </w:pPr>
      <w:r w:rsidRPr="00806BB7">
        <w:rPr>
          <w:szCs w:val="24"/>
        </w:rPr>
        <w:t>Study Characteristics</w:t>
      </w:r>
      <w:bookmarkEnd w:id="18"/>
    </w:p>
    <w:p w14:paraId="325FA9E6" w14:textId="02A2C0D5" w:rsidR="00CC7A2C" w:rsidRPr="00806BB7" w:rsidRDefault="00CC7A2C" w:rsidP="00CC7A2C">
      <w:pPr>
        <w:pStyle w:val="Heading3"/>
      </w:pPr>
      <w:bookmarkStart w:id="20" w:name="_Toc39065446"/>
      <w:r w:rsidRPr="00806BB7">
        <w:t>Study Location</w:t>
      </w:r>
      <w:bookmarkEnd w:id="20"/>
    </w:p>
    <w:p w14:paraId="1B05B353" w14:textId="729FA666" w:rsidR="00CC7A2C" w:rsidRPr="00806BB7" w:rsidRDefault="00CC7A2C" w:rsidP="00820DA2">
      <w:pPr>
        <w:rPr>
          <w:szCs w:val="24"/>
        </w:rPr>
      </w:pPr>
      <w:r w:rsidRPr="00806BB7">
        <w:rPr>
          <w:szCs w:val="24"/>
        </w:rPr>
        <w:t xml:space="preserve">Out of the six studies, </w:t>
      </w:r>
      <w:r w:rsidR="009B69C1">
        <w:rPr>
          <w:szCs w:val="24"/>
        </w:rPr>
        <w:t>three</w:t>
      </w:r>
      <w:r w:rsidR="009B69C1" w:rsidRPr="00806BB7">
        <w:rPr>
          <w:szCs w:val="24"/>
        </w:rPr>
        <w:t xml:space="preserve"> </w:t>
      </w:r>
      <w:r w:rsidRPr="00806BB7">
        <w:rPr>
          <w:szCs w:val="24"/>
        </w:rPr>
        <w:t xml:space="preserve">were completed in Israel </w:t>
      </w:r>
      <w:r w:rsidR="002B5DEA" w:rsidRPr="00806BB7">
        <w:rPr>
          <w:szCs w:val="24"/>
        </w:rPr>
        <w:fldChar w:fldCharType="begin"/>
      </w:r>
      <w:r w:rsidR="00095E48" w:rsidRPr="00806BB7">
        <w:rPr>
          <w:szCs w:val="24"/>
        </w:rPr>
        <w:instrText xml:space="preserve"> ADDIN ZOTERO_ITEM CSL_CITATION {"citationID":"v28TkQKt","properties":{"formattedCitation":"(Ahissar et al., 2006; Daikhin Luba et al., 2017; Oganian &amp; Ahissar, 2012)","plainCitation":"(Ahissar et al., 2006; Daikhin Luba et al., 2017; Oganian &amp; Ahissar, 2012)","dontUpdate":true,"noteIndex":0},"citationItems":[{"id":279,"uris":["http://zotero.org/users/6317667/items/PR33PC9V"],"uri":["http://zotero.org/users/6317667/items/PR33PC9V"],"itemData":{"id":279,"type":"article-journal","abstract":"In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skills","volume":"50","author":[{"family":"Oganian","given":"Yulia"},{"family":"Ahissar","given":"Merav"}],"issued":{"date-parts":[["2012",7,1]]}}}],"schema":"https://github.com/citation-style-language/schema/raw/master/csl-citation.json"} </w:instrText>
      </w:r>
      <w:r w:rsidR="002B5DEA" w:rsidRPr="00806BB7">
        <w:rPr>
          <w:szCs w:val="24"/>
        </w:rPr>
        <w:fldChar w:fldCharType="separate"/>
      </w:r>
      <w:r w:rsidR="002B5DEA" w:rsidRPr="00806BB7">
        <w:rPr>
          <w:szCs w:val="24"/>
        </w:rPr>
        <w:t>(Ahissar et al., 2006; Daikhin et al., 2017; Oganian &amp; Ahissar, 2012)</w:t>
      </w:r>
      <w:r w:rsidR="002B5DEA" w:rsidRPr="00806BB7">
        <w:rPr>
          <w:szCs w:val="24"/>
        </w:rPr>
        <w:fldChar w:fldCharType="end"/>
      </w:r>
      <w:r w:rsidRPr="00806BB7">
        <w:rPr>
          <w:szCs w:val="24"/>
        </w:rPr>
        <w:t xml:space="preserve">, </w:t>
      </w:r>
      <w:r w:rsidR="009B69C1">
        <w:rPr>
          <w:szCs w:val="24"/>
        </w:rPr>
        <w:t>one</w:t>
      </w:r>
      <w:r w:rsidR="009B69C1" w:rsidRPr="00806BB7">
        <w:rPr>
          <w:szCs w:val="24"/>
        </w:rPr>
        <w:t xml:space="preserve"> </w:t>
      </w:r>
      <w:r w:rsidRPr="00806BB7">
        <w:rPr>
          <w:szCs w:val="24"/>
        </w:rPr>
        <w:t xml:space="preserve">in Italy </w:t>
      </w:r>
      <w:r w:rsidR="002B5DEA" w:rsidRPr="00806BB7">
        <w:rPr>
          <w:szCs w:val="24"/>
        </w:rPr>
        <w:fldChar w:fldCharType="begin"/>
      </w:r>
      <w:r w:rsidR="00095E48" w:rsidRPr="00806BB7">
        <w:rPr>
          <w:szCs w:val="24"/>
        </w:rPr>
        <w:instrText xml:space="preserve"> ADDIN ZOTERO_ITEM CSL_CITATION {"citationID":"pKt4QJcs","properties":{"formattedCitation":"(Di Filippo et al., 2008)","plainCitation":"(Di Filippo et al., 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C."}],"issued":{"date-parts":[["2008"]]}}}],"schema":"https://github.com/citation-style-language/schema/raw/master/csl-citation.json"} </w:instrText>
      </w:r>
      <w:r w:rsidR="002B5DEA" w:rsidRPr="00806BB7">
        <w:rPr>
          <w:szCs w:val="24"/>
        </w:rPr>
        <w:fldChar w:fldCharType="separate"/>
      </w:r>
      <w:r w:rsidR="002B5DEA" w:rsidRPr="00806BB7">
        <w:rPr>
          <w:rFonts w:cs="Times New Roman"/>
          <w:szCs w:val="24"/>
        </w:rPr>
        <w:t>(Di Filippo et al., 2008)</w:t>
      </w:r>
      <w:r w:rsidR="002B5DEA" w:rsidRPr="00806BB7">
        <w:rPr>
          <w:szCs w:val="24"/>
        </w:rPr>
        <w:fldChar w:fldCharType="end"/>
      </w:r>
      <w:r w:rsidRPr="00806BB7">
        <w:rPr>
          <w:szCs w:val="24"/>
        </w:rPr>
        <w:t xml:space="preserve">, </w:t>
      </w:r>
      <w:r w:rsidR="009B69C1">
        <w:rPr>
          <w:szCs w:val="24"/>
        </w:rPr>
        <w:t>one</w:t>
      </w:r>
      <w:r w:rsidR="009B69C1" w:rsidRPr="00806BB7">
        <w:rPr>
          <w:szCs w:val="24"/>
        </w:rPr>
        <w:t xml:space="preserve"> </w:t>
      </w:r>
      <w:r w:rsidRPr="00806BB7">
        <w:rPr>
          <w:szCs w:val="24"/>
        </w:rPr>
        <w:t xml:space="preserve">in France </w:t>
      </w:r>
      <w:r w:rsidR="002B5DEA" w:rsidRPr="00806BB7">
        <w:rPr>
          <w:szCs w:val="24"/>
        </w:rPr>
        <w:fldChar w:fldCharType="begin"/>
      </w:r>
      <w:r w:rsidR="00095E48" w:rsidRPr="00806BB7">
        <w:rPr>
          <w:szCs w:val="24"/>
        </w:rPr>
        <w:instrText xml:space="preserve"> ADDIN ZOTERO_ITEM CSL_CITATION {"citationID":"empBS0Jk","properties":{"formattedCitation":"(Agus et al., 2014)","plainCitation":"(Agus et al., 2014)","noteIndex":0},"citationItems":[{"id":360,"uris":["http://zotero.org/users/6317667/items/ULPSNIZ2"],"uri":["http://zotero.org/users/6317667/items/ULPSNIZ2"],"itemData":{"id":360,"type":"article-journal","abstract":"PURPOSE: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R."},{"family":"Carrión-Castillo","given":"Amaia"},{"family":"Pressnitzer","given":"Daniel"},{"family":"Ramus","given":"Franck"}],"issued":{"date-parts":[["2014",6,1]]}}}],"schema":"https://github.com/citation-style-language/schema/raw/master/csl-citation.json"} </w:instrText>
      </w:r>
      <w:r w:rsidR="002B5DEA" w:rsidRPr="00806BB7">
        <w:rPr>
          <w:szCs w:val="24"/>
        </w:rPr>
        <w:fldChar w:fldCharType="separate"/>
      </w:r>
      <w:r w:rsidR="002B5DEA" w:rsidRPr="00806BB7">
        <w:rPr>
          <w:rFonts w:cs="Times New Roman"/>
          <w:szCs w:val="24"/>
        </w:rPr>
        <w:t>(Agus et al., 2014)</w:t>
      </w:r>
      <w:r w:rsidR="002B5DEA" w:rsidRPr="00806BB7">
        <w:rPr>
          <w:szCs w:val="24"/>
        </w:rPr>
        <w:fldChar w:fldCharType="end"/>
      </w:r>
      <w:r w:rsidRPr="00806BB7">
        <w:rPr>
          <w:szCs w:val="24"/>
        </w:rPr>
        <w:t xml:space="preserve">, and </w:t>
      </w:r>
      <w:r w:rsidR="009B69C1">
        <w:rPr>
          <w:szCs w:val="24"/>
        </w:rPr>
        <w:t>one</w:t>
      </w:r>
      <w:r w:rsidR="009B69C1" w:rsidRPr="00806BB7">
        <w:rPr>
          <w:szCs w:val="24"/>
        </w:rPr>
        <w:t xml:space="preserve"> </w:t>
      </w:r>
      <w:r w:rsidRPr="00806BB7">
        <w:rPr>
          <w:szCs w:val="24"/>
        </w:rPr>
        <w:t xml:space="preserve">in the Netherlands </w:t>
      </w:r>
      <w:r w:rsidR="002B5DEA" w:rsidRPr="00806BB7">
        <w:rPr>
          <w:szCs w:val="24"/>
        </w:rPr>
        <w:fldChar w:fldCharType="begin"/>
      </w:r>
      <w:r w:rsidR="00095E48" w:rsidRPr="00806BB7">
        <w:rPr>
          <w:szCs w:val="24"/>
        </w:rPr>
        <w:instrText xml:space="preserve"> ADDIN ZOTERO_ITEM CSL_CITATION {"citationID":"rmLszn1l","properties":{"formattedCitation":"(Wijnen et al., 2012)","plainCitation":"(Wijnen et al., 2012)","noteIndex":0},"citationItems":[{"id":35,"uris":["http://zotero.org/users/6317667/items/RNLQW3DM"],"uri":["http://zotero.org/users/6317667/items/RNLQW3DM"],"itemData":{"id":35,"type":"article-journal","abstract":"A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2B5DEA" w:rsidRPr="00806BB7">
        <w:rPr>
          <w:szCs w:val="24"/>
        </w:rPr>
        <w:fldChar w:fldCharType="separate"/>
      </w:r>
      <w:r w:rsidR="002B5DEA" w:rsidRPr="00806BB7">
        <w:rPr>
          <w:rFonts w:cs="Times New Roman"/>
          <w:szCs w:val="24"/>
        </w:rPr>
        <w:t>(Wijnen et al., 2012)</w:t>
      </w:r>
      <w:r w:rsidR="002B5DEA" w:rsidRPr="00806BB7">
        <w:rPr>
          <w:szCs w:val="24"/>
        </w:rPr>
        <w:fldChar w:fldCharType="end"/>
      </w:r>
      <w:r w:rsidRPr="00806BB7">
        <w:rPr>
          <w:szCs w:val="24"/>
        </w:rPr>
        <w:t xml:space="preserve">. Two studies recruited participants through the primary author’s affiliated university </w:t>
      </w:r>
      <w:r w:rsidR="002B5DEA" w:rsidRPr="00806BB7">
        <w:rPr>
          <w:szCs w:val="24"/>
        </w:rPr>
        <w:fldChar w:fldCharType="begin"/>
      </w:r>
      <w:r w:rsidR="00095E48" w:rsidRPr="00806BB7">
        <w:rPr>
          <w:szCs w:val="24"/>
        </w:rPr>
        <w:instrText xml:space="preserve"> ADDIN ZOTERO_ITEM CSL_CITATION {"citationID":"hDbDg8iq","properties":{"formattedCitation":"(Daikhin et al., 2017; Oganian &amp; Ahissar, 2012)","plainCitation":"(Daikhin et al., 2017; Oganian &amp; Ahissar, 2012)","noteIndex":0},"citationItems":[{"id":284,"uris":["http://zotero.org/users/6317667/items/BRZNGX9J"],"uri":["http://zotero.org/users/6317667/items/BRZNGX9J"],"itemData":{"id":284,"type":"article-journal","abstract":"Purpose\n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skills","volume":"50","author":[{"family":"Oganian","given":"Yulia"},{"family":"Ahissar","given":"Merav"}],"issued":{"date-parts":[["2012",7,1]]}}}],"schema":"https://github.com/citation-style-language/schema/raw/master/csl-citation.json"} </w:instrText>
      </w:r>
      <w:r w:rsidR="002B5DEA" w:rsidRPr="00806BB7">
        <w:rPr>
          <w:szCs w:val="24"/>
        </w:rPr>
        <w:fldChar w:fldCharType="separate"/>
      </w:r>
      <w:r w:rsidR="002B5DEA" w:rsidRPr="00806BB7">
        <w:rPr>
          <w:rFonts w:cs="Times New Roman"/>
          <w:szCs w:val="24"/>
        </w:rPr>
        <w:t>(Daikhin et al., 2017; Oganian &amp; Ahissar, 2012)</w:t>
      </w:r>
      <w:r w:rsidR="002B5DEA" w:rsidRPr="00806BB7">
        <w:rPr>
          <w:szCs w:val="24"/>
        </w:rPr>
        <w:fldChar w:fldCharType="end"/>
      </w:r>
      <w:r w:rsidR="00AA09B9" w:rsidRPr="00806BB7">
        <w:rPr>
          <w:szCs w:val="24"/>
        </w:rPr>
        <w:t>, one</w:t>
      </w:r>
      <w:r w:rsidRPr="00806BB7">
        <w:rPr>
          <w:szCs w:val="24"/>
        </w:rPr>
        <w:t xml:space="preserve"> recruited through a private school </w:t>
      </w:r>
      <w:r w:rsidR="002B5DEA" w:rsidRPr="00806BB7">
        <w:rPr>
          <w:szCs w:val="24"/>
        </w:rPr>
        <w:fldChar w:fldCharType="begin"/>
      </w:r>
      <w:r w:rsidR="00903EDA">
        <w:rPr>
          <w:szCs w:val="24"/>
        </w:rPr>
        <w:instrText xml:space="preserve"> ADDIN ZOTERO_ITEM CSL_CITATION {"citationID":"TVOjd0es","properties":{"formattedCitation":"(Merav Ahissar et al., 2006)","plainCitation":"(Merav Ahissar et al., 2006)","dontUpdate":true,"noteIndex":0},"citationItems":[{"id":279,"uris":["http://zotero.org/users/6317667/items/PR33PC9V"],"uri":["http://zotero.org/users/6317667/items/PR33PC9V"],"itemData":{"id":279,"type":"article-journal","abstract":"In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chema":"https://github.com/citation-style-language/schema/raw/master/csl-citation.json"} </w:instrText>
      </w:r>
      <w:r w:rsidR="002B5DEA" w:rsidRPr="00806BB7">
        <w:rPr>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et al., 2006)</w:t>
      </w:r>
      <w:r w:rsidR="002B5DEA" w:rsidRPr="00806BB7">
        <w:rPr>
          <w:szCs w:val="24"/>
        </w:rPr>
        <w:fldChar w:fldCharType="end"/>
      </w:r>
      <w:r w:rsidRPr="00806BB7">
        <w:rPr>
          <w:szCs w:val="24"/>
        </w:rPr>
        <w:t xml:space="preserve">, </w:t>
      </w:r>
      <w:r w:rsidR="009B69C1">
        <w:rPr>
          <w:szCs w:val="24"/>
        </w:rPr>
        <w:t>one</w:t>
      </w:r>
      <w:r w:rsidR="009B69C1" w:rsidRPr="00806BB7">
        <w:rPr>
          <w:szCs w:val="24"/>
        </w:rPr>
        <w:t xml:space="preserve"> </w:t>
      </w:r>
      <w:r w:rsidRPr="00806BB7">
        <w:rPr>
          <w:szCs w:val="24"/>
        </w:rPr>
        <w:t xml:space="preserve">through a public school </w:t>
      </w:r>
      <w:r w:rsidR="002B5DEA" w:rsidRPr="00806BB7">
        <w:rPr>
          <w:szCs w:val="24"/>
        </w:rPr>
        <w:fldChar w:fldCharType="begin"/>
      </w:r>
      <w:r w:rsidR="00095E48" w:rsidRPr="00806BB7">
        <w:rPr>
          <w:szCs w:val="24"/>
        </w:rPr>
        <w:instrText xml:space="preserve"> ADDIN ZOTERO_ITEM CSL_CITATION {"citationID":"vukH5GCo","properties":{"formattedCitation":"(Di Filippo et al., 2008)","plainCitation":"(Di Filippo et al., 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C."}],"issued":{"date-parts":[["2008"]]}}}],"schema":"https://github.com/citation-style-language/schema/raw/master/csl-citation.json"} </w:instrText>
      </w:r>
      <w:r w:rsidR="002B5DEA" w:rsidRPr="00806BB7">
        <w:rPr>
          <w:szCs w:val="24"/>
        </w:rPr>
        <w:fldChar w:fldCharType="separate"/>
      </w:r>
      <w:r w:rsidR="002B5DEA" w:rsidRPr="00806BB7">
        <w:rPr>
          <w:rFonts w:cs="Times New Roman"/>
          <w:szCs w:val="24"/>
        </w:rPr>
        <w:t>(Di Filippo et al., 2008)</w:t>
      </w:r>
      <w:r w:rsidR="002B5DEA" w:rsidRPr="00806BB7">
        <w:rPr>
          <w:szCs w:val="24"/>
        </w:rPr>
        <w:fldChar w:fldCharType="end"/>
      </w:r>
      <w:r w:rsidRPr="00806BB7">
        <w:rPr>
          <w:szCs w:val="24"/>
        </w:rPr>
        <w:t xml:space="preserve">, and the remaining recruited through local universities </w:t>
      </w:r>
      <w:r w:rsidR="002B5DEA" w:rsidRPr="00806BB7">
        <w:rPr>
          <w:szCs w:val="24"/>
        </w:rPr>
        <w:fldChar w:fldCharType="begin"/>
      </w:r>
      <w:r w:rsidR="00095E48" w:rsidRPr="00806BB7">
        <w:rPr>
          <w:szCs w:val="24"/>
        </w:rPr>
        <w:instrText xml:space="preserve"> ADDIN ZOTERO_ITEM CSL_CITATION {"citationID":"rFZKRH0T","properties":{"formattedCitation":"(Agus et al., 2014; Wijnen et al., 2012)","plainCitation":"(Agus et al., 2014; Wijnen et al., 2012)","noteIndex":0},"citationItems":[{"id":360,"uris":["http://zotero.org/users/6317667/items/ULPSNIZ2"],"uri":["http://zotero.org/users/6317667/items/ULPSNIZ2"],"itemData":{"id":360,"type":"article-journal","abstract":"PURPOSE: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2B5DEA" w:rsidRPr="00806BB7">
        <w:rPr>
          <w:szCs w:val="24"/>
        </w:rPr>
        <w:fldChar w:fldCharType="separate"/>
      </w:r>
      <w:r w:rsidR="002B5DEA" w:rsidRPr="00806BB7">
        <w:rPr>
          <w:rFonts w:cs="Times New Roman"/>
          <w:szCs w:val="24"/>
        </w:rPr>
        <w:t>(Agus et al., 2014; Wijnen et al., 2012)</w:t>
      </w:r>
      <w:r w:rsidR="002B5DEA" w:rsidRPr="00806BB7">
        <w:rPr>
          <w:szCs w:val="24"/>
        </w:rPr>
        <w:fldChar w:fldCharType="end"/>
      </w:r>
      <w:r w:rsidRPr="00806BB7">
        <w:rPr>
          <w:szCs w:val="24"/>
        </w:rPr>
        <w:t>.</w:t>
      </w:r>
    </w:p>
    <w:p w14:paraId="1FD0BE0F" w14:textId="28D70649" w:rsidR="00F95DCE" w:rsidRPr="00806BB7" w:rsidRDefault="00F95DCE" w:rsidP="00E655A1">
      <w:pPr>
        <w:pStyle w:val="Heading3"/>
      </w:pPr>
      <w:bookmarkStart w:id="21" w:name="_Toc39065447"/>
      <w:r w:rsidRPr="00806BB7">
        <w:t xml:space="preserve">Measuring </w:t>
      </w:r>
      <w:r w:rsidR="00E655A1" w:rsidRPr="00806BB7">
        <w:t xml:space="preserve">Perceptual </w:t>
      </w:r>
      <w:r w:rsidRPr="00806BB7">
        <w:t>Anchoring Ability</w:t>
      </w:r>
      <w:bookmarkEnd w:id="21"/>
    </w:p>
    <w:p w14:paraId="1DF5399F" w14:textId="37B80342" w:rsidR="008C1F89" w:rsidRPr="00806BB7" w:rsidRDefault="00F95DCE" w:rsidP="008C1F89">
      <w:pPr>
        <w:rPr>
          <w:szCs w:val="24"/>
        </w:rPr>
      </w:pPr>
      <w:r w:rsidRPr="00806BB7">
        <w:rPr>
          <w:szCs w:val="24"/>
        </w:rPr>
        <w:t xml:space="preserve">The tasks used to assess perceptual anchoring varied between studies. Three studies used auditory frequency discrimination tasks </w:t>
      </w:r>
      <w:r w:rsidR="00785F41" w:rsidRPr="00806BB7">
        <w:rPr>
          <w:szCs w:val="24"/>
        </w:rPr>
        <w:fldChar w:fldCharType="begin"/>
      </w:r>
      <w:r w:rsidR="00903EDA">
        <w:rPr>
          <w:szCs w:val="24"/>
        </w:rPr>
        <w:instrText xml:space="preserve"> ADDIN ZOTERO_ITEM CSL_CITATION {"citationID":"tMZCEYCs","properties":{"formattedCitation":"(Merav Ahissar et al., 2006; Oganian &amp; Ahissar, 2012; Wijnen et al., 2012)","plainCitation":"(Merav Ahissar et al., 2006; Oganian &amp; Ahissar, 2012; Wijnen et al., 2012)","dontUpdate":true,"noteIndex":0},"citationItems":[{"id":279,"uris":["http://zotero.org/users/6317667/items/PR33PC9V"],"uri":["http://zotero.org/users/6317667/items/PR33PC9V"],"itemData":{"id":279,"type":"article-journal","abstract":"In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785F41" w:rsidRPr="00806BB7">
        <w:rPr>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et al., 2006; Oganian &amp; Ahissar, 2012; Wijnen et al., 2012)</w:t>
      </w:r>
      <w:r w:rsidR="00785F41" w:rsidRPr="00806BB7">
        <w:rPr>
          <w:szCs w:val="24"/>
        </w:rPr>
        <w:fldChar w:fldCharType="end"/>
      </w:r>
      <w:r w:rsidRPr="00806BB7">
        <w:rPr>
          <w:szCs w:val="24"/>
        </w:rPr>
        <w:t>; one us</w:t>
      </w:r>
      <w:r w:rsidR="00785F41" w:rsidRPr="00806BB7">
        <w:rPr>
          <w:szCs w:val="24"/>
        </w:rPr>
        <w:t xml:space="preserve">ed rapid automatized naming </w:t>
      </w:r>
      <w:r w:rsidR="00785F41" w:rsidRPr="00806BB7">
        <w:rPr>
          <w:szCs w:val="24"/>
        </w:rPr>
        <w:fldChar w:fldCharType="begin"/>
      </w:r>
      <w:r w:rsidR="00095E48" w:rsidRPr="00806BB7">
        <w:rPr>
          <w:szCs w:val="24"/>
        </w:rPr>
        <w:instrText xml:space="preserve"> ADDIN ZOTERO_ITEM CSL_CITATION {"citationID":"2MWISXrz","properties":{"formattedCitation":"(Di Filippo et al., 2008)","plainCitation":"(Di Filippo et al., 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C."}],"issued":{"date-parts":[["2008"]]}}}],"schema":"https://github.com/citation-style-language/schema/raw/master/csl-citation.json"} </w:instrText>
      </w:r>
      <w:r w:rsidR="00785F41" w:rsidRPr="00806BB7">
        <w:rPr>
          <w:szCs w:val="24"/>
        </w:rPr>
        <w:fldChar w:fldCharType="separate"/>
      </w:r>
      <w:r w:rsidR="00785F41" w:rsidRPr="00806BB7">
        <w:rPr>
          <w:rFonts w:cs="Times New Roman"/>
          <w:szCs w:val="24"/>
        </w:rPr>
        <w:t>(Di Filippo et al., 2008)</w:t>
      </w:r>
      <w:r w:rsidR="00785F41" w:rsidRPr="00806BB7">
        <w:rPr>
          <w:szCs w:val="24"/>
        </w:rPr>
        <w:fldChar w:fldCharType="end"/>
      </w:r>
      <w:r w:rsidRPr="00806BB7">
        <w:rPr>
          <w:szCs w:val="24"/>
        </w:rPr>
        <w:t xml:space="preserve">; and two used a novel, repeated-noise </w:t>
      </w:r>
      <w:r w:rsidR="00785F41" w:rsidRPr="00806BB7">
        <w:rPr>
          <w:szCs w:val="24"/>
        </w:rPr>
        <w:t xml:space="preserve">detection task </w:t>
      </w:r>
      <w:r w:rsidR="00785F41" w:rsidRPr="00806BB7">
        <w:rPr>
          <w:szCs w:val="24"/>
        </w:rPr>
        <w:fldChar w:fldCharType="begin"/>
      </w:r>
      <w:r w:rsidR="00095E48" w:rsidRPr="00806BB7">
        <w:rPr>
          <w:szCs w:val="24"/>
        </w:rPr>
        <w:instrText xml:space="preserve"> ADDIN ZOTERO_ITEM CSL_CITATION {"citationID":"ibR8fnZZ","properties":{"formattedCitation":"(Agus et al., 2014; Daikhin et al., 2017)","plainCitation":"(Agus et al., 2014; Daikhin et al., 2017)","noteIndex":0},"citationItems":[{"id":360,"uris":["http://zotero.org/users/6317667/items/ULPSNIZ2"],"uri":["http://zotero.org/users/6317667/items/ULPSNIZ2"],"itemData":{"id":360,"type":"article-journal","abstract":"PURPOSE: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Reduced","volume":"60","author":[{"family":"Daikhin","given":"Luba"},{"family":"Raviv","given":"Ofri"},{"family":"Ahissar","given":"Merav"}],"issued":{"date-parts":[["2017",2,1]]}}}],"schema":"https://github.com/citation-style-language/schema/raw/master/csl-citation.json"} </w:instrText>
      </w:r>
      <w:r w:rsidR="00785F41" w:rsidRPr="00806BB7">
        <w:rPr>
          <w:szCs w:val="24"/>
        </w:rPr>
        <w:fldChar w:fldCharType="separate"/>
      </w:r>
      <w:r w:rsidR="00785F41" w:rsidRPr="00806BB7">
        <w:rPr>
          <w:rFonts w:cs="Times New Roman"/>
          <w:szCs w:val="24"/>
        </w:rPr>
        <w:t>(Agus et al., 2014; Daikhin et al., 2017)</w:t>
      </w:r>
      <w:r w:rsidR="00785F41" w:rsidRPr="00806BB7">
        <w:rPr>
          <w:szCs w:val="24"/>
        </w:rPr>
        <w:fldChar w:fldCharType="end"/>
      </w:r>
      <w:r w:rsidR="008C1F89" w:rsidRPr="00806BB7">
        <w:rPr>
          <w:szCs w:val="24"/>
        </w:rPr>
        <w:t>.</w:t>
      </w:r>
    </w:p>
    <w:p w14:paraId="16EF640F" w14:textId="17AD827A" w:rsidR="008C1F89" w:rsidRPr="00806BB7" w:rsidRDefault="008C1F89" w:rsidP="008C1F89">
      <w:pPr>
        <w:pStyle w:val="Heading4"/>
        <w:rPr>
          <w:vanish/>
          <w:specVanish/>
        </w:rPr>
      </w:pPr>
      <w:r w:rsidRPr="00806BB7">
        <w:rPr>
          <w:rStyle w:val="Heading4Char"/>
          <w:b/>
        </w:rPr>
        <w:t>Frequency discrimination task.</w:t>
      </w:r>
    </w:p>
    <w:p w14:paraId="49F6270C" w14:textId="1C527F46" w:rsidR="008C1F89" w:rsidRPr="00806BB7" w:rsidRDefault="008C1F89" w:rsidP="008C1F89">
      <w:pPr>
        <w:rPr>
          <w:rFonts w:cs="Times New Roman"/>
          <w:bCs/>
          <w:iCs/>
          <w:szCs w:val="24"/>
        </w:rPr>
      </w:pPr>
      <w:r w:rsidRPr="00806BB7">
        <w:rPr>
          <w:rFonts w:cs="Times New Roman"/>
          <w:bCs/>
          <w:iCs/>
          <w:szCs w:val="24"/>
        </w:rPr>
        <w:t xml:space="preserve"> </w:t>
      </w:r>
      <w:r w:rsidR="003D62C4" w:rsidRPr="00806BB7">
        <w:rPr>
          <w:rFonts w:cs="Times New Roman"/>
          <w:bCs/>
          <w:iCs/>
          <w:szCs w:val="24"/>
        </w:rPr>
        <w:t xml:space="preserve">Frequency discrimination tasks consisted of two conditions using a two-interval, two-alternative, forced-choice (2AFC) paradigm. Participants indicated which of two tones was higher in pitch. In one condition (‘standard’), the frequency of a fixed reference pure tone (1000 Hz) was constant across all trials. In the other condition (‘no-standard’ or ‘roving’), no fixed reference tone was used, instead, the lower tone was randomly selected every trial from a defined interval. The </w:t>
      </w:r>
      <w:r w:rsidR="00541B60" w:rsidRPr="00806BB7">
        <w:rPr>
          <w:rFonts w:cs="Times New Roman"/>
          <w:bCs/>
          <w:iCs/>
          <w:szCs w:val="24"/>
        </w:rPr>
        <w:t xml:space="preserve">frequency of the </w:t>
      </w:r>
      <w:r w:rsidR="003D62C4" w:rsidRPr="00806BB7">
        <w:rPr>
          <w:rFonts w:cs="Times New Roman"/>
          <w:bCs/>
          <w:iCs/>
          <w:szCs w:val="24"/>
        </w:rPr>
        <w:t xml:space="preserve">higher tone was determined based on </w:t>
      </w:r>
      <w:r w:rsidR="00541B60" w:rsidRPr="00806BB7">
        <w:rPr>
          <w:rFonts w:cs="Times New Roman"/>
          <w:bCs/>
          <w:iCs/>
          <w:szCs w:val="24"/>
        </w:rPr>
        <w:t xml:space="preserve">participant’s </w:t>
      </w:r>
      <w:r w:rsidR="003D62C4" w:rsidRPr="00806BB7">
        <w:rPr>
          <w:rFonts w:cs="Times New Roman"/>
          <w:bCs/>
          <w:iCs/>
          <w:szCs w:val="24"/>
        </w:rPr>
        <w:t xml:space="preserve">performance on the previous trial. Tone duration was 50 </w:t>
      </w:r>
      <w:r w:rsidR="002E0EA8" w:rsidRPr="00806BB7">
        <w:rPr>
          <w:rFonts w:cs="Times New Roman"/>
          <w:bCs/>
          <w:iCs/>
          <w:szCs w:val="24"/>
        </w:rPr>
        <w:lastRenderedPageBreak/>
        <w:t>ms</w:t>
      </w:r>
      <w:r w:rsidR="003D62C4" w:rsidRPr="00806BB7">
        <w:rPr>
          <w:rFonts w:cs="Times New Roman"/>
          <w:bCs/>
          <w:iCs/>
          <w:szCs w:val="24"/>
        </w:rPr>
        <w:t>, initial-frequency difference was 500 Hz, and inter</w:t>
      </w:r>
      <w:r w:rsidR="00A144CD">
        <w:rPr>
          <w:rFonts w:cs="Times New Roman"/>
          <w:bCs/>
          <w:iCs/>
          <w:szCs w:val="24"/>
        </w:rPr>
        <w:t>-</w:t>
      </w:r>
      <w:r w:rsidR="003D62C4" w:rsidRPr="00806BB7">
        <w:rPr>
          <w:rFonts w:cs="Times New Roman"/>
          <w:bCs/>
          <w:iCs/>
          <w:szCs w:val="24"/>
        </w:rPr>
        <w:t xml:space="preserve">stimulus interval was 950 </w:t>
      </w:r>
      <w:r w:rsidR="002E0EA8" w:rsidRPr="00806BB7">
        <w:rPr>
          <w:rFonts w:cs="Times New Roman"/>
          <w:bCs/>
          <w:iCs/>
          <w:szCs w:val="24"/>
        </w:rPr>
        <w:t>ms</w:t>
      </w:r>
      <w:r w:rsidR="003D62C4" w:rsidRPr="00806BB7">
        <w:rPr>
          <w:rFonts w:cs="Times New Roman"/>
          <w:bCs/>
          <w:iCs/>
          <w:szCs w:val="24"/>
        </w:rPr>
        <w:t xml:space="preserve"> </w:t>
      </w:r>
      <w:r w:rsidR="00785F41" w:rsidRPr="00806BB7">
        <w:rPr>
          <w:rFonts w:cs="Times New Roman"/>
          <w:bCs/>
          <w:iCs/>
          <w:szCs w:val="24"/>
        </w:rPr>
        <w:fldChar w:fldCharType="begin"/>
      </w:r>
      <w:r w:rsidR="00903EDA">
        <w:rPr>
          <w:rFonts w:cs="Times New Roman"/>
          <w:bCs/>
          <w:iCs/>
          <w:szCs w:val="24"/>
        </w:rPr>
        <w:instrText xml:space="preserve"> ADDIN ZOTERO_ITEM CSL_CITATION {"citationID":"spz3o0vW","properties":{"formattedCitation":"(Merav Ahissar et al., 2006)","plainCitation":"(Merav Ahissar et al., 2006)","dontUpdate":true,"noteIndex":0},"citationItems":[{"id":279,"uris":["http://zotero.org/users/6317667/items/PR33PC9V"],"uri":["http://zotero.org/users/6317667/items/PR33PC9V"],"itemData":{"id":279,"type":"article-journal","abstract":"In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chema":"https://github.com/citation-style-language/schema/raw/master/csl-citation.json"} </w:instrText>
      </w:r>
      <w:r w:rsidR="00785F41" w:rsidRPr="00806BB7">
        <w:rPr>
          <w:rFonts w:cs="Times New Roman"/>
          <w:bCs/>
          <w:iCs/>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et al., 2006)</w:t>
      </w:r>
      <w:r w:rsidR="00785F41" w:rsidRPr="00806BB7">
        <w:rPr>
          <w:rFonts w:cs="Times New Roman"/>
          <w:bCs/>
          <w:iCs/>
          <w:szCs w:val="24"/>
        </w:rPr>
        <w:fldChar w:fldCharType="end"/>
      </w:r>
      <w:r w:rsidR="003D62C4" w:rsidRPr="00806BB7">
        <w:rPr>
          <w:rFonts w:cs="Times New Roman"/>
          <w:bCs/>
          <w:iCs/>
          <w:szCs w:val="24"/>
        </w:rPr>
        <w:t>.</w:t>
      </w:r>
    </w:p>
    <w:p w14:paraId="09F71D39" w14:textId="77777777" w:rsidR="006C5E7B" w:rsidRPr="00806BB7" w:rsidRDefault="003D62C4" w:rsidP="006C5E7B">
      <w:pPr>
        <w:pStyle w:val="Heading4"/>
        <w:rPr>
          <w:vanish/>
          <w:specVanish/>
        </w:rPr>
      </w:pPr>
      <w:r w:rsidRPr="00806BB7">
        <w:t>Rapid automatized naming task (RAN).</w:t>
      </w:r>
    </w:p>
    <w:p w14:paraId="22387B7F" w14:textId="151899BE" w:rsidR="005846DD" w:rsidRPr="00806BB7" w:rsidRDefault="006C5E7B" w:rsidP="006C5E7B">
      <w:pPr>
        <w:rPr>
          <w:szCs w:val="24"/>
        </w:rPr>
      </w:pPr>
      <w:r w:rsidRPr="00806BB7">
        <w:rPr>
          <w:szCs w:val="24"/>
        </w:rPr>
        <w:t xml:space="preserve"> </w:t>
      </w:r>
      <w:r w:rsidR="003D62C4" w:rsidRPr="00806BB7">
        <w:rPr>
          <w:szCs w:val="24"/>
        </w:rPr>
        <w:t xml:space="preserve">The RAN task consisted of two conditions using two sets of stimuli (objects and numbers). In the small-set condition, five repeated items were used. In the large-set condition, an open list of 50 non-repeated stimuli was used. Each set consisted of a matrix of ten rows with five stimuli per row, for a total of 50 items. For objects, the small set consisted of a book, table, needle, bag and house, and the large set consisted 50 non-repeated items. For numbers, the small set consisted of the sequence 2, 4, 5, 7 and 9, and the large set consisted of 50 non-repeated numbers ranging between 10 and 99 </w:t>
      </w:r>
      <w:r w:rsidR="00785F41" w:rsidRPr="00806BB7">
        <w:rPr>
          <w:szCs w:val="24"/>
        </w:rPr>
        <w:fldChar w:fldCharType="begin"/>
      </w:r>
      <w:r w:rsidR="00095E48" w:rsidRPr="00806BB7">
        <w:rPr>
          <w:szCs w:val="24"/>
        </w:rPr>
        <w:instrText xml:space="preserve"> ADDIN ZOTERO_ITEM CSL_CITATION {"citationID":"HUufQGg2","properties":{"formattedCitation":"(Di Filippo et al., 2008)","plainCitation":"(Di Filippo et al., 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C."}],"issued":{"date-parts":[["2008"]]}}}],"schema":"https://github.com/citation-style-language/schema/raw/master/csl-citation.json"} </w:instrText>
      </w:r>
      <w:r w:rsidR="00785F41" w:rsidRPr="00806BB7">
        <w:rPr>
          <w:szCs w:val="24"/>
        </w:rPr>
        <w:fldChar w:fldCharType="separate"/>
      </w:r>
      <w:r w:rsidR="00785F41" w:rsidRPr="00806BB7">
        <w:rPr>
          <w:szCs w:val="24"/>
        </w:rPr>
        <w:t>(Di Filippo et al., 2008)</w:t>
      </w:r>
      <w:r w:rsidR="00785F41" w:rsidRPr="00806BB7">
        <w:rPr>
          <w:szCs w:val="24"/>
        </w:rPr>
        <w:fldChar w:fldCharType="end"/>
      </w:r>
      <w:r w:rsidR="003D62C4" w:rsidRPr="00806BB7">
        <w:rPr>
          <w:szCs w:val="24"/>
        </w:rPr>
        <w:t>.</w:t>
      </w:r>
    </w:p>
    <w:p w14:paraId="3E8A621F" w14:textId="77777777" w:rsidR="003D62C4" w:rsidRPr="00806BB7" w:rsidRDefault="003D62C4" w:rsidP="003D62C4">
      <w:pPr>
        <w:pStyle w:val="Heading4"/>
        <w:rPr>
          <w:vanish/>
          <w:specVanish/>
        </w:rPr>
      </w:pPr>
      <w:r w:rsidRPr="00806BB7">
        <w:t>Repeated noise detection task.</w:t>
      </w:r>
    </w:p>
    <w:p w14:paraId="5379D563" w14:textId="3E6888BD" w:rsidR="003D62C4" w:rsidRPr="00806BB7" w:rsidRDefault="003D62C4" w:rsidP="003D62C4">
      <w:pPr>
        <w:ind w:left="720"/>
        <w:contextualSpacing/>
        <w:rPr>
          <w:rFonts w:cs="Times New Roman"/>
          <w:bCs/>
          <w:iCs/>
          <w:szCs w:val="24"/>
        </w:rPr>
      </w:pPr>
      <w:r w:rsidRPr="00806BB7">
        <w:rPr>
          <w:szCs w:val="24"/>
        </w:rPr>
        <w:t xml:space="preserve"> </w:t>
      </w:r>
      <w:r w:rsidRPr="00806BB7">
        <w:rPr>
          <w:rFonts w:cs="Times New Roman"/>
          <w:bCs/>
          <w:iCs/>
          <w:szCs w:val="24"/>
        </w:rPr>
        <w:t xml:space="preserve">The repeated-noise detection task consisted of three conditions, using a 2AFC paradigm. Participants were presented with a 1 </w:t>
      </w:r>
      <w:r w:rsidR="002E0EA8" w:rsidRPr="00806BB7">
        <w:rPr>
          <w:rFonts w:cs="Times New Roman"/>
          <w:bCs/>
          <w:iCs/>
          <w:szCs w:val="24"/>
        </w:rPr>
        <w:t>s</w:t>
      </w:r>
      <w:r w:rsidRPr="00806BB7">
        <w:rPr>
          <w:rFonts w:cs="Times New Roman"/>
          <w:bCs/>
          <w:iCs/>
          <w:szCs w:val="24"/>
        </w:rPr>
        <w:t xml:space="preserve"> white-noise token and indicated whether the noise contained a repetition. Whit</w:t>
      </w:r>
      <w:r w:rsidR="000D029D" w:rsidRPr="00806BB7">
        <w:rPr>
          <w:rFonts w:cs="Times New Roman"/>
          <w:bCs/>
          <w:iCs/>
          <w:szCs w:val="24"/>
        </w:rPr>
        <w:t>e</w:t>
      </w:r>
      <w:r w:rsidRPr="00806BB7">
        <w:rPr>
          <w:rFonts w:cs="Times New Roman"/>
          <w:bCs/>
          <w:iCs/>
          <w:szCs w:val="24"/>
        </w:rPr>
        <w:t xml:space="preserve">-noise tokens were generated as independent, normally-distributed random numbers. Participants were presented with either a noise token (N: 1 </w:t>
      </w:r>
      <w:r w:rsidR="002E0EA8" w:rsidRPr="00806BB7">
        <w:rPr>
          <w:rFonts w:cs="Times New Roman"/>
          <w:bCs/>
          <w:iCs/>
          <w:szCs w:val="24"/>
        </w:rPr>
        <w:t>s</w:t>
      </w:r>
      <w:r w:rsidRPr="00806BB7">
        <w:rPr>
          <w:rFonts w:cs="Times New Roman"/>
          <w:bCs/>
          <w:iCs/>
          <w:szCs w:val="24"/>
        </w:rPr>
        <w:t xml:space="preserve"> of continuously generated white noise), a repeated-noise token (RN: 1 </w:t>
      </w:r>
      <w:r w:rsidR="002E0EA8" w:rsidRPr="00806BB7">
        <w:rPr>
          <w:rFonts w:cs="Times New Roman"/>
          <w:bCs/>
          <w:iCs/>
          <w:szCs w:val="24"/>
        </w:rPr>
        <w:t>s</w:t>
      </w:r>
      <w:r w:rsidRPr="00806BB7">
        <w:rPr>
          <w:rFonts w:cs="Times New Roman"/>
          <w:bCs/>
          <w:iCs/>
          <w:szCs w:val="24"/>
        </w:rPr>
        <w:t xml:space="preserve"> of white noise split in half and the first half concatenated to itself), and a reference repeated-noise token (RefRN: generated as the RN stimuli but was repeated within a block). In a block of 80 trials, 40 trials were N stimuli, 20 were RN, and 20 were RefRN. Different RefRNs were presented </w:t>
      </w:r>
      <w:r w:rsidR="009B69C1">
        <w:rPr>
          <w:rFonts w:cs="Times New Roman"/>
          <w:bCs/>
          <w:iCs/>
          <w:szCs w:val="24"/>
        </w:rPr>
        <w:t>across</w:t>
      </w:r>
      <w:r w:rsidR="00C23EAD">
        <w:rPr>
          <w:rFonts w:cs="Times New Roman"/>
          <w:bCs/>
          <w:iCs/>
          <w:szCs w:val="24"/>
        </w:rPr>
        <w:t xml:space="preserve"> </w:t>
      </w:r>
      <w:r w:rsidRPr="00806BB7">
        <w:rPr>
          <w:rFonts w:cs="Times New Roman"/>
          <w:bCs/>
          <w:iCs/>
          <w:szCs w:val="24"/>
        </w:rPr>
        <w:t xml:space="preserve">block </w:t>
      </w:r>
      <w:r w:rsidR="00785F41" w:rsidRPr="00806BB7">
        <w:rPr>
          <w:rFonts w:cs="Times New Roman"/>
          <w:bCs/>
          <w:iCs/>
          <w:szCs w:val="24"/>
        </w:rPr>
        <w:fldChar w:fldCharType="begin"/>
      </w:r>
      <w:r w:rsidR="00095E48" w:rsidRPr="00806BB7">
        <w:rPr>
          <w:rFonts w:cs="Times New Roman"/>
          <w:bCs/>
          <w:iCs/>
          <w:szCs w:val="24"/>
        </w:rPr>
        <w:instrText xml:space="preserve"> ADDIN ZOTERO_ITEM CSL_CITATION {"citationID":"k3UWoiql","properties":{"formattedCitation":"(Agus et al., 2010, 2014)","plainCitation":"(Agus et al., 2010, 2014)","noteIndex":0},"citationItems":[{"id":2,"uris":["http://zotero.org/users/6317667/items/TL2T3F3B"],"uri":["http://zotero.org/users/6317667/items/TL2T3F3B"],"itemData":{"id":2,"type":"article-journal","abstract":"Summary Before a natural sound can be recognized, an auditory signature of its source must be learned through experience. Here we used random waveforms to probe the formation of new memories for arbitrary complex sounds. A behavioral measure was designed, based on the detection of repetitions embedded in noises up to 4 s long. Unbeknownst to listeners, some noise samples reoccurred randomly throughout an experimental block. Results showed that repeated exposure induced learning for otherwise totally unpredictable and meaningless sounds. The learning was unsupervised and resilient to interference from other task-relevant noises. When memories were formed, they emerged rapidly, performance became abruptly near-perfect, and multiple noises were remembered for several weeks. The acoustic transformations to which recall was tolerant suggest that the learned features were local in time. We propose that rapid sensory plasticity could explain how the auditory brain creates useful memories from the ever-changing, but sometimes repeating, acoustical world.","container-title":"Neuron","DOI":"https://doi.org/10.1016/j.neuron.2010.04.014","ISSN":"0896-6273","issue":"4","page":"610-618","title":"Rapid Formation of Robust Auditory Memories: Insights from Noise","volume":"66","author":[{"family":"Agus","given":"Trevor R."},{"family":"Thorpe","given":"Simon J."},{"family":"Pressnitzer","given":"Daniel"}],"issued":{"date-parts":[["2010",5,27]]}}},{"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R."},{"family":"Carrión-Castillo","given":"Amaia"},{"family":"Pressnitzer","given":"Daniel"},{"family":"Ramus","given":"Franck"}],"issued":{"date-parts":[["2014",6,1]]}}}],"schema":"https://github.com/citation-style-language/schema/raw/master/csl-citation.json"} </w:instrText>
      </w:r>
      <w:r w:rsidR="00785F41" w:rsidRPr="00806BB7">
        <w:rPr>
          <w:rFonts w:cs="Times New Roman"/>
          <w:bCs/>
          <w:iCs/>
          <w:szCs w:val="24"/>
        </w:rPr>
        <w:fldChar w:fldCharType="separate"/>
      </w:r>
      <w:r w:rsidR="00785F41" w:rsidRPr="00806BB7">
        <w:rPr>
          <w:rFonts w:cs="Times New Roman"/>
          <w:szCs w:val="24"/>
        </w:rPr>
        <w:t>(Agus et al., 2010, 2014)</w:t>
      </w:r>
      <w:r w:rsidR="00785F41" w:rsidRPr="00806BB7">
        <w:rPr>
          <w:rFonts w:cs="Times New Roman"/>
          <w:bCs/>
          <w:iCs/>
          <w:szCs w:val="24"/>
        </w:rPr>
        <w:fldChar w:fldCharType="end"/>
      </w:r>
      <w:r w:rsidRPr="00806BB7">
        <w:rPr>
          <w:rFonts w:cs="Times New Roman"/>
          <w:bCs/>
          <w:iCs/>
          <w:szCs w:val="24"/>
        </w:rPr>
        <w:t xml:space="preserve">. </w:t>
      </w:r>
    </w:p>
    <w:p w14:paraId="5EFAEEF9" w14:textId="6CCA096B" w:rsidR="003D62C4" w:rsidRPr="00806BB7" w:rsidRDefault="003D62C4" w:rsidP="003D62C4">
      <w:pPr>
        <w:pStyle w:val="Heading3"/>
      </w:pPr>
      <w:bookmarkStart w:id="22" w:name="_Toc39065448"/>
      <w:r w:rsidRPr="00806BB7">
        <w:t>Measuring Reading Ability</w:t>
      </w:r>
      <w:bookmarkEnd w:id="22"/>
    </w:p>
    <w:p w14:paraId="703DB6DD" w14:textId="7DB4B771" w:rsidR="003D62C4" w:rsidRPr="00806BB7" w:rsidRDefault="00884B52" w:rsidP="003D62C4">
      <w:pPr>
        <w:contextualSpacing/>
        <w:rPr>
          <w:rFonts w:cs="Times New Roman"/>
          <w:bCs/>
          <w:iCs/>
          <w:szCs w:val="24"/>
        </w:rPr>
      </w:pPr>
      <w:r w:rsidRPr="00806BB7">
        <w:rPr>
          <w:rFonts w:cs="Times New Roman"/>
          <w:bCs/>
          <w:iCs/>
          <w:szCs w:val="24"/>
        </w:rPr>
        <w:t xml:space="preserve">Reading measures also varied between studies. Ahissar et al.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MSXbZGbB","properties":{"formattedCitation":"(2006)","plainCitation":"(2006)","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(2006)</w:t>
      </w:r>
      <w:r w:rsidR="00E65D52" w:rsidRPr="00806BB7">
        <w:rPr>
          <w:rFonts w:cs="Times New Roman"/>
          <w:bCs/>
          <w:iCs/>
          <w:szCs w:val="24"/>
        </w:rPr>
        <w:fldChar w:fldCharType="end"/>
      </w:r>
      <w:r w:rsidRPr="00806BB7">
        <w:rPr>
          <w:rFonts w:cs="Times New Roman"/>
          <w:bCs/>
          <w:iCs/>
          <w:szCs w:val="24"/>
        </w:rPr>
        <w:t xml:space="preserve"> measured non-word reading (accuracy and rate) and phonological awareness (spoonerism accuracy and word segmentation) using a word list designed and evaluated specifically for Hebrew reading participants </w:t>
      </w:r>
      <w:r w:rsidR="00785F41" w:rsidRPr="00806BB7">
        <w:rPr>
          <w:rFonts w:cs="Times New Roman"/>
          <w:bCs/>
          <w:iCs/>
          <w:szCs w:val="24"/>
        </w:rPr>
        <w:fldChar w:fldCharType="begin"/>
      </w:r>
      <w:r w:rsidR="00095E48" w:rsidRPr="00806BB7">
        <w:rPr>
          <w:rFonts w:cs="Times New Roman"/>
          <w:bCs/>
          <w:iCs/>
          <w:szCs w:val="24"/>
        </w:rPr>
        <w:instrText xml:space="preserve"> ADDIN ZOTERO_ITEM CSL_CITATION {"citationID":"5SFI7arV","properties":{"formattedCitation":"(Deutsch &amp; Bentin, 1996)","plainCitation":"(Deutsch &amp; Bentin, 1996)","noteIndex":0},"citationItems":[{"id":359,"uris":["http://zotero.org/users/6317667/items/BW3EPJHF"],"uri":["http://zotero.org/users/6317667/items/BW3EPJHF"],"itemData":{"id":359,"type":"article-journal","abstract":"Syntactic context effects on the identification of spoken words, and the involvement of attention in mediating these effects, were examined in seventh-grade children with reading disabilities and children who were good readers. The subjects were asked to identify target words that were masked by white noise. All targets were final words embedded in unveiled sentences. Relative to a syntactically neutral context, the identification of targets whose morpho-syntactic structure was congruent with the context was facilitated and the identification of syntactically incongruent targets was inhibited. Reading-disabled children were less inhibited by syntactic incongruence than good readers. Presenting congruent and incongruent sentences in separate blocks reduced the amount of inhibition in good readers while having no effect on the reading-disabled. The percentage of correct identification of incongruent targets in the mixed presentation condition was larger for reading-disabled than for good readers, whereas in the blocked presentation condition the percentage of correct identification was equal across groups. The amount of facilitation was not affected by blocking the congruent and incongruent conditions, and was equal across reading groups. It is concluded that, in both reading groups, the syntactic structure of the context triggers a process of anticipation for particular syntactic categories which is based on a basic assumption that linguistic messages are syntactically coherent. Reading-disabled children are, however, less aware of this process and therefore less affected when the syntactic expectations are not fulfilled.","container-title":"Journal of Experimental Child Psychology","DOI":"10.1006/jecp.1996.0055","ISSN":"0022-0965","issue":"2","journalAbbreviation":"Journal of Experimental Child Psychology","language":"en","page":"386-415","source":"ScienceDirect","title":"Attention Factors Mediating Syntactic Deficiency in Reading-Disabled Children","volume":"63","author":[{"family":"Deutsch","given":"Avital"},{"family":"Bentin","given":"Shlomo"}],"issued":{"date-parts":[["1996",11,1]]}}}],"schema":"https://github.com/citation-style-language/schema/raw/master/csl-citation.json"} </w:instrText>
      </w:r>
      <w:r w:rsidR="00785F41" w:rsidRPr="00806BB7">
        <w:rPr>
          <w:rFonts w:cs="Times New Roman"/>
          <w:bCs/>
          <w:iCs/>
          <w:szCs w:val="24"/>
        </w:rPr>
        <w:fldChar w:fldCharType="separate"/>
      </w:r>
      <w:r w:rsidR="00785F41" w:rsidRPr="00806BB7">
        <w:rPr>
          <w:rFonts w:cs="Times New Roman"/>
          <w:szCs w:val="24"/>
        </w:rPr>
        <w:t>(Deutsch &amp; Bentin, 1996)</w:t>
      </w:r>
      <w:r w:rsidR="00785F41" w:rsidRPr="00806BB7">
        <w:rPr>
          <w:rFonts w:cs="Times New Roman"/>
          <w:bCs/>
          <w:iCs/>
          <w:szCs w:val="24"/>
        </w:rPr>
        <w:fldChar w:fldCharType="end"/>
      </w:r>
      <w:r w:rsidRPr="00806BB7">
        <w:rPr>
          <w:rFonts w:cs="Times New Roman"/>
          <w:bCs/>
          <w:iCs/>
          <w:szCs w:val="24"/>
        </w:rPr>
        <w:t xml:space="preserve">, and a Hebrew version of the spoonerism task (unpublished test material), respectively. Di Filippo et al.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i6ryoDAP","properties":{"formattedCitation":"(2008)","plainCitation":"(2008)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(2008)</w:t>
      </w:r>
      <w:r w:rsidR="00E65D52" w:rsidRPr="00806BB7">
        <w:rPr>
          <w:rFonts w:cs="Times New Roman"/>
          <w:bCs/>
          <w:iCs/>
          <w:szCs w:val="24"/>
        </w:rPr>
        <w:fldChar w:fldCharType="end"/>
      </w:r>
      <w:r w:rsidRPr="00806BB7">
        <w:rPr>
          <w:rFonts w:cs="Times New Roman"/>
          <w:bCs/>
          <w:iCs/>
          <w:szCs w:val="24"/>
        </w:rPr>
        <w:t xml:space="preserve"> measured reading level </w:t>
      </w:r>
      <w:r w:rsidRPr="00806BB7">
        <w:rPr>
          <w:rFonts w:cs="Times New Roman"/>
          <w:bCs/>
          <w:iCs/>
          <w:szCs w:val="24"/>
        </w:rPr>
        <w:lastRenderedPageBreak/>
        <w:t xml:space="preserve">using a standardized Italian reading achievement test (MT Reading test; </w:t>
      </w:r>
      <w:r w:rsidR="00B72443" w:rsidRPr="00806BB7">
        <w:rPr>
          <w:rFonts w:cs="Times New Roman"/>
          <w:bCs/>
          <w:iCs/>
          <w:szCs w:val="24"/>
        </w:rPr>
        <w:fldChar w:fldCharType="begin"/>
      </w:r>
      <w:r w:rsidR="00095E48" w:rsidRPr="00806BB7">
        <w:rPr>
          <w:rFonts w:cs="Times New Roman"/>
          <w:bCs/>
          <w:iCs/>
          <w:szCs w:val="24"/>
        </w:rPr>
        <w:instrText xml:space="preserve"> ADDIN ZOTERO_ITEM CSL_CITATION {"citationID":"Dp23vXtN","properties":{"formattedCitation":"(Cornoldi &amp; Colpo, 1992)","plainCitation":"(Cornoldi &amp; Colpo, 1992)","dontUpdate":true,"noteIndex":0},"citationItems":[{"id":357,"uris":["http://zotero.org/users/6317667/items/S39S6IP3"],"uri":["http://zotero.org/users/6317667/items/S39S6IP3"],"itemData":{"id":357,"type":"article-journal","container-title":"Florence, Italy: Special Organizations","title":"New MT reading tests for middle school - Manual","author":[{"family":"Cornoldi","given":"C"},{"family":"Colpo","given":"G"}],"issued":{"date-parts":[["1992"]]}}}],"schema":"https://github.com/citation-style-language/schema/raw/master/csl-citation.json"} </w:instrText>
      </w:r>
      <w:r w:rsidR="00B72443" w:rsidRPr="00806BB7">
        <w:rPr>
          <w:rFonts w:cs="Times New Roman"/>
          <w:bCs/>
          <w:iCs/>
          <w:szCs w:val="24"/>
        </w:rPr>
        <w:fldChar w:fldCharType="separate"/>
      </w:r>
      <w:r w:rsidR="00B72443" w:rsidRPr="00806BB7">
        <w:rPr>
          <w:rFonts w:cs="Times New Roman"/>
          <w:szCs w:val="24"/>
        </w:rPr>
        <w:t>Cornoldi &amp; Colpo, 1992)</w:t>
      </w:r>
      <w:r w:rsidR="00B72443" w:rsidRPr="00806BB7">
        <w:rPr>
          <w:rFonts w:cs="Times New Roman"/>
          <w:bCs/>
          <w:iCs/>
          <w:szCs w:val="24"/>
        </w:rPr>
        <w:fldChar w:fldCharType="end"/>
      </w:r>
      <w:r w:rsidRPr="00806BB7">
        <w:rPr>
          <w:rFonts w:cs="Times New Roman"/>
          <w:bCs/>
          <w:iCs/>
          <w:szCs w:val="24"/>
        </w:rPr>
        <w:t xml:space="preserve"> whereby accuracy and rate were assessed. Oganian and Ahissar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dljIhHtc","properties":{"formattedCitation":"(2012)","plainCitation":"(2012)","noteIndex":0},"citationItems":[{"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(2012)</w:t>
      </w:r>
      <w:r w:rsidR="00E65D52" w:rsidRPr="00806BB7">
        <w:rPr>
          <w:rFonts w:cs="Times New Roman"/>
          <w:bCs/>
          <w:iCs/>
          <w:szCs w:val="24"/>
        </w:rPr>
        <w:fldChar w:fldCharType="end"/>
      </w:r>
      <w:r w:rsidRPr="00806BB7">
        <w:rPr>
          <w:rFonts w:cs="Times New Roman"/>
          <w:bCs/>
          <w:iCs/>
          <w:szCs w:val="24"/>
        </w:rPr>
        <w:t xml:space="preserve"> measured non- and real-word reading with the identical measure to Ahissar et al.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mXNHUjbu","properties":{"formattedCitation":"(2006)","plainCitation":"(2006)","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(2006)</w:t>
      </w:r>
      <w:r w:rsidR="00E65D52" w:rsidRPr="00806BB7">
        <w:rPr>
          <w:rFonts w:cs="Times New Roman"/>
          <w:bCs/>
          <w:iCs/>
          <w:szCs w:val="24"/>
        </w:rPr>
        <w:fldChar w:fldCharType="end"/>
      </w:r>
      <w:r w:rsidRPr="00806BB7">
        <w:rPr>
          <w:rFonts w:cs="Times New Roman"/>
          <w:bCs/>
          <w:iCs/>
          <w:szCs w:val="24"/>
        </w:rPr>
        <w:t xml:space="preserve">. Agus et al.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ti4ekq9t","properties":{"formattedCitation":"(2014)","plainCitation":"(2014)","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(2014)</w:t>
      </w:r>
      <w:r w:rsidR="00E65D52" w:rsidRPr="00806BB7">
        <w:rPr>
          <w:rFonts w:cs="Times New Roman"/>
          <w:bCs/>
          <w:iCs/>
          <w:szCs w:val="24"/>
        </w:rPr>
        <w:fldChar w:fldCharType="end"/>
      </w:r>
      <w:r w:rsidRPr="00806BB7">
        <w:rPr>
          <w:rFonts w:cs="Times New Roman"/>
          <w:bCs/>
          <w:iCs/>
          <w:szCs w:val="24"/>
        </w:rPr>
        <w:t xml:space="preserve"> measured reading using a standardized French reading test, “L’alouette” </w:t>
      </w:r>
      <w:r w:rsidR="00B72443" w:rsidRPr="00806BB7">
        <w:rPr>
          <w:rFonts w:cs="Times New Roman"/>
          <w:bCs/>
          <w:iCs/>
          <w:szCs w:val="24"/>
        </w:rPr>
        <w:fldChar w:fldCharType="begin"/>
      </w:r>
      <w:r w:rsidR="00095E48" w:rsidRPr="00806BB7">
        <w:rPr>
          <w:rFonts w:cs="Times New Roman"/>
          <w:bCs/>
          <w:iCs/>
          <w:szCs w:val="24"/>
        </w:rPr>
        <w:instrText xml:space="preserve"> ADDIN ZOTERO_ITEM CSL_CITATION {"citationID":"TDfRfQGK","properties":{"formattedCitation":"(Lefavrais, 1967)","plainCitation":"(Lefavrais, 1967)","noteIndex":0},"citationItems":[{"id":356,"uris":["http://zotero.org/users/6317667/items/KUDDRVDA"],"uri":["http://zotero.org/users/6317667/items/KUDDRVDA"],"itemData":{"id":356,"type":"paper-conference","publisher":"ECPA","title":"L'alouette","author":[{"family":"Lefavrais","given":"Pierre"}],"issued":{"date-parts":[["1967"]]}}}],"schema":"https://github.com/citation-style-language/schema/raw/master/csl-citation.json"} </w:instrText>
      </w:r>
      <w:r w:rsidR="00B72443" w:rsidRPr="00806BB7">
        <w:rPr>
          <w:rFonts w:cs="Times New Roman"/>
          <w:bCs/>
          <w:iCs/>
          <w:szCs w:val="24"/>
        </w:rPr>
        <w:fldChar w:fldCharType="separate"/>
      </w:r>
      <w:r w:rsidR="00B72443" w:rsidRPr="00806BB7">
        <w:rPr>
          <w:rFonts w:cs="Times New Roman"/>
          <w:szCs w:val="24"/>
        </w:rPr>
        <w:t>(Lefavrais, 1967)</w:t>
      </w:r>
      <w:r w:rsidR="00B72443" w:rsidRPr="00806BB7">
        <w:rPr>
          <w:rFonts w:cs="Times New Roman"/>
          <w:bCs/>
          <w:iCs/>
          <w:szCs w:val="24"/>
        </w:rPr>
        <w:fldChar w:fldCharType="end"/>
      </w:r>
      <w:r w:rsidRPr="00806BB7">
        <w:rPr>
          <w:rFonts w:cs="Times New Roman"/>
          <w:bCs/>
          <w:iCs/>
          <w:szCs w:val="24"/>
        </w:rPr>
        <w:t xml:space="preserve">, whereby accuracy and rate were assessed, and a French spoonerism task (composite score from accuracy and rate). Finally, Daikhin et al.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ZRI19WBa","properties":{"formattedCitation":"(2017)","plainCitation":"(2017)","noteIndex":0},"citationItems":[{"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(2017)</w:t>
      </w:r>
      <w:r w:rsidR="00E65D52" w:rsidRPr="00806BB7">
        <w:rPr>
          <w:rFonts w:cs="Times New Roman"/>
          <w:bCs/>
          <w:iCs/>
          <w:szCs w:val="24"/>
        </w:rPr>
        <w:fldChar w:fldCharType="end"/>
      </w:r>
      <w:r w:rsidR="00E65D52" w:rsidRPr="00806BB7">
        <w:rPr>
          <w:rFonts w:cs="Times New Roman"/>
          <w:bCs/>
          <w:iCs/>
          <w:szCs w:val="24"/>
        </w:rPr>
        <w:t xml:space="preserve"> </w:t>
      </w:r>
      <w:r w:rsidRPr="00806BB7">
        <w:rPr>
          <w:rFonts w:cs="Times New Roman"/>
          <w:bCs/>
          <w:iCs/>
          <w:szCs w:val="24"/>
        </w:rPr>
        <w:t>measured non- and real-word reading with an identical set of m</w:t>
      </w:r>
      <w:r w:rsidR="00E65D52" w:rsidRPr="00806BB7">
        <w:rPr>
          <w:rFonts w:cs="Times New Roman"/>
          <w:bCs/>
          <w:iCs/>
          <w:szCs w:val="24"/>
        </w:rPr>
        <w:t xml:space="preserve">easures to Ahissar et al. </w:t>
      </w:r>
      <w:r w:rsidR="00E65D52" w:rsidRPr="00806BB7">
        <w:rPr>
          <w:rFonts w:cs="Times New Roman"/>
          <w:bCs/>
          <w:iCs/>
          <w:szCs w:val="24"/>
        </w:rPr>
        <w:fldChar w:fldCharType="begin"/>
      </w:r>
      <w:r w:rsidR="00095E48" w:rsidRPr="00806BB7">
        <w:rPr>
          <w:rFonts w:cs="Times New Roman"/>
          <w:bCs/>
          <w:iCs/>
          <w:szCs w:val="24"/>
        </w:rPr>
        <w:instrText xml:space="preserve"> ADDIN ZOTERO_ITEM CSL_CITATION {"citationID":"rJSX96NG","properties":{"formattedCitation":"(2006)","plainCitation":"(2006)","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uppress-author":true}],"schema":"https://github.com/citation-style-language/schema/raw/master/csl-citation.json"} </w:instrText>
      </w:r>
      <w:r w:rsidR="00E65D52" w:rsidRPr="00806BB7">
        <w:rPr>
          <w:rFonts w:cs="Times New Roman"/>
          <w:bCs/>
          <w:iCs/>
          <w:szCs w:val="24"/>
        </w:rPr>
        <w:fldChar w:fldCharType="separate"/>
      </w:r>
      <w:r w:rsidR="00E65D52" w:rsidRPr="00806BB7">
        <w:rPr>
          <w:rFonts w:cs="Times New Roman"/>
          <w:szCs w:val="24"/>
        </w:rPr>
        <w:t>(2006)</w:t>
      </w:r>
      <w:r w:rsidR="00E65D52" w:rsidRPr="00806BB7">
        <w:rPr>
          <w:rFonts w:cs="Times New Roman"/>
          <w:bCs/>
          <w:iCs/>
          <w:szCs w:val="24"/>
        </w:rPr>
        <w:fldChar w:fldCharType="end"/>
      </w:r>
      <w:r w:rsidRPr="00806BB7">
        <w:rPr>
          <w:rFonts w:cs="Times New Roman"/>
          <w:bCs/>
          <w:iCs/>
          <w:szCs w:val="24"/>
        </w:rPr>
        <w:t>.</w:t>
      </w:r>
    </w:p>
    <w:p w14:paraId="614EC857" w14:textId="33FA6268" w:rsidR="002A09DB" w:rsidRPr="00806BB7" w:rsidRDefault="001D4CD9" w:rsidP="003D62C4">
      <w:pPr>
        <w:contextualSpacing/>
        <w:rPr>
          <w:rFonts w:cs="Times New Roman"/>
          <w:bCs/>
          <w:iCs/>
          <w:szCs w:val="24"/>
        </w:rPr>
      </w:pPr>
      <w:r w:rsidRPr="00806BB7">
        <w:rPr>
          <w:rFonts w:cs="Times New Roman"/>
          <w:bCs/>
          <w:iCs/>
          <w:szCs w:val="24"/>
        </w:rPr>
        <w:t xml:space="preserve">Cut-off scores used to designate dyslexia-like </w:t>
      </w:r>
      <w:r w:rsidR="00612169" w:rsidRPr="00806BB7">
        <w:rPr>
          <w:rFonts w:cs="Times New Roman"/>
          <w:bCs/>
          <w:iCs/>
          <w:szCs w:val="24"/>
        </w:rPr>
        <w:t xml:space="preserve">reading </w:t>
      </w:r>
      <w:r w:rsidRPr="00806BB7">
        <w:rPr>
          <w:rFonts w:cs="Times New Roman"/>
          <w:bCs/>
          <w:iCs/>
          <w:szCs w:val="24"/>
        </w:rPr>
        <w:t xml:space="preserve">performance varied between studies. </w:t>
      </w:r>
      <w:r w:rsidR="002B1707" w:rsidRPr="00806BB7">
        <w:rPr>
          <w:rFonts w:cs="Times New Roman"/>
          <w:bCs/>
          <w:iCs/>
          <w:szCs w:val="24"/>
        </w:rPr>
        <w:t xml:space="preserve">Ahissar et al. </w:t>
      </w:r>
      <w:r w:rsidR="002B1707" w:rsidRPr="00806BB7">
        <w:rPr>
          <w:rFonts w:cs="Times New Roman"/>
          <w:bCs/>
          <w:iCs/>
          <w:szCs w:val="24"/>
        </w:rPr>
        <w:fldChar w:fldCharType="begin"/>
      </w:r>
      <w:r w:rsidR="00095E48" w:rsidRPr="00806BB7">
        <w:rPr>
          <w:rFonts w:cs="Times New Roman"/>
          <w:bCs/>
          <w:iCs/>
          <w:szCs w:val="24"/>
        </w:rPr>
        <w:instrText xml:space="preserve"> ADDIN ZOTERO_ITEM CSL_CITATION {"citationID":"1bxO5vXw","properties":{"formattedCitation":"(2006)","plainCitation":"(2006)","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suppress-author":true}],"schema":"https://github.com/citation-style-language/schema/raw/master/csl-citation.json"} </w:instrText>
      </w:r>
      <w:r w:rsidR="002B1707" w:rsidRPr="00806BB7">
        <w:rPr>
          <w:rFonts w:cs="Times New Roman"/>
          <w:bCs/>
          <w:iCs/>
          <w:szCs w:val="24"/>
        </w:rPr>
        <w:fldChar w:fldCharType="separate"/>
      </w:r>
      <w:r w:rsidR="002B1707" w:rsidRPr="00806BB7">
        <w:rPr>
          <w:rFonts w:cs="Times New Roman"/>
          <w:szCs w:val="24"/>
        </w:rPr>
        <w:t>(2006)</w:t>
      </w:r>
      <w:r w:rsidR="002B1707" w:rsidRPr="00806BB7">
        <w:rPr>
          <w:rFonts w:cs="Times New Roman"/>
          <w:bCs/>
          <w:iCs/>
          <w:szCs w:val="24"/>
        </w:rPr>
        <w:fldChar w:fldCharType="end"/>
      </w:r>
      <w:r w:rsidR="002B1707" w:rsidRPr="00806BB7">
        <w:rPr>
          <w:rFonts w:cs="Times New Roman"/>
          <w:bCs/>
          <w:iCs/>
          <w:szCs w:val="24"/>
        </w:rPr>
        <w:t xml:space="preserve"> used a phonological score (see above for specific measures) of less than 1.</w:t>
      </w:r>
      <w:r w:rsidR="00725417" w:rsidRPr="00806BB7">
        <w:rPr>
          <w:rFonts w:cs="Times New Roman"/>
          <w:bCs/>
          <w:iCs/>
          <w:szCs w:val="24"/>
        </w:rPr>
        <w:t>5 standard deviations (</w:t>
      </w:r>
      <w:r w:rsidR="00981D4A" w:rsidRPr="00806BB7">
        <w:rPr>
          <w:rFonts w:cs="Times New Roman"/>
          <w:bCs/>
          <w:iCs/>
          <w:szCs w:val="24"/>
        </w:rPr>
        <w:t>SD</w:t>
      </w:r>
      <w:r w:rsidR="002B1707" w:rsidRPr="00806BB7">
        <w:rPr>
          <w:rFonts w:cs="Times New Roman"/>
          <w:bCs/>
          <w:iCs/>
          <w:szCs w:val="24"/>
        </w:rPr>
        <w:t>), or more,</w:t>
      </w:r>
      <w:r w:rsidR="00456FE1" w:rsidRPr="00806BB7">
        <w:rPr>
          <w:rFonts w:cs="Times New Roman"/>
          <w:bCs/>
          <w:iCs/>
          <w:szCs w:val="24"/>
        </w:rPr>
        <w:t xml:space="preserve"> below the mean of the control sample</w:t>
      </w:r>
      <w:r w:rsidR="002B1707" w:rsidRPr="00806BB7">
        <w:rPr>
          <w:rFonts w:cs="Times New Roman"/>
          <w:bCs/>
          <w:iCs/>
          <w:szCs w:val="24"/>
        </w:rPr>
        <w:t xml:space="preserve"> to classify participants as dyslexic</w:t>
      </w:r>
      <w:r w:rsidR="00456FE1" w:rsidRPr="00806BB7">
        <w:rPr>
          <w:rFonts w:cs="Times New Roman"/>
          <w:bCs/>
          <w:iCs/>
          <w:szCs w:val="24"/>
        </w:rPr>
        <w:t xml:space="preserve">. Di Fillipo et al. </w:t>
      </w:r>
      <w:r w:rsidR="00456FE1" w:rsidRPr="00806BB7">
        <w:rPr>
          <w:rFonts w:cs="Times New Roman"/>
          <w:bCs/>
          <w:iCs/>
          <w:szCs w:val="24"/>
        </w:rPr>
        <w:fldChar w:fldCharType="begin"/>
      </w:r>
      <w:r w:rsidR="00095E48" w:rsidRPr="00806BB7">
        <w:rPr>
          <w:rFonts w:cs="Times New Roman"/>
          <w:bCs/>
          <w:iCs/>
          <w:szCs w:val="24"/>
        </w:rPr>
        <w:instrText xml:space="preserve"> ADDIN ZOTERO_ITEM CSL_CITATION {"citationID":"LwpjFHJm","properties":{"formattedCitation":"(2008)","plainCitation":"(2008)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C."}],"issued":{"date-parts":[["2008"]]}},"suppress-author":true}],"schema":"https://github.com/citation-style-language/schema/raw/master/csl-citation.json"} </w:instrText>
      </w:r>
      <w:r w:rsidR="00456FE1" w:rsidRPr="00806BB7">
        <w:rPr>
          <w:rFonts w:cs="Times New Roman"/>
          <w:bCs/>
          <w:iCs/>
          <w:szCs w:val="24"/>
        </w:rPr>
        <w:fldChar w:fldCharType="separate"/>
      </w:r>
      <w:r w:rsidR="00456FE1" w:rsidRPr="00806BB7">
        <w:rPr>
          <w:rFonts w:cs="Times New Roman"/>
          <w:szCs w:val="24"/>
        </w:rPr>
        <w:t>(2008)</w:t>
      </w:r>
      <w:r w:rsidR="00456FE1" w:rsidRPr="00806BB7">
        <w:rPr>
          <w:rFonts w:cs="Times New Roman"/>
          <w:bCs/>
          <w:iCs/>
          <w:szCs w:val="24"/>
        </w:rPr>
        <w:fldChar w:fldCharType="end"/>
      </w:r>
      <w:r w:rsidR="00456FE1" w:rsidRPr="00806BB7">
        <w:rPr>
          <w:rFonts w:cs="Times New Roman"/>
          <w:bCs/>
          <w:iCs/>
          <w:szCs w:val="24"/>
        </w:rPr>
        <w:t xml:space="preserve"> used </w:t>
      </w:r>
      <w:r w:rsidR="00725417" w:rsidRPr="00806BB7">
        <w:rPr>
          <w:rFonts w:cs="Times New Roman"/>
          <w:bCs/>
          <w:iCs/>
          <w:szCs w:val="24"/>
        </w:rPr>
        <w:t xml:space="preserve">an accuracy or rate score of less than 2 s.d, or more, below the mean of the control sample to classify participants as dyslexic. </w:t>
      </w:r>
      <w:r w:rsidR="00261D9E" w:rsidRPr="00806BB7">
        <w:rPr>
          <w:rFonts w:cs="Times New Roman"/>
          <w:bCs/>
          <w:iCs/>
          <w:szCs w:val="24"/>
        </w:rPr>
        <w:t xml:space="preserve">Oganian and Ahissar </w:t>
      </w:r>
      <w:r w:rsidR="00261D9E" w:rsidRPr="00806BB7">
        <w:rPr>
          <w:rFonts w:cs="Times New Roman"/>
          <w:bCs/>
          <w:iCs/>
          <w:szCs w:val="24"/>
        </w:rPr>
        <w:fldChar w:fldCharType="begin"/>
      </w:r>
      <w:r w:rsidR="00095E48" w:rsidRPr="00806BB7">
        <w:rPr>
          <w:rFonts w:cs="Times New Roman"/>
          <w:bCs/>
          <w:iCs/>
          <w:szCs w:val="24"/>
        </w:rPr>
        <w:instrText xml:space="preserve"> ADDIN ZOTERO_ITEM CSL_CITATION {"citationID":"Bar3RPQ5","properties":{"formattedCitation":"(2012)","plainCitation":"(2012)","noteIndex":0},"citationItems":[{"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skills","volume":"50","author":[{"family":"Oganian","given":"Yulia"},{"family":"Ahissar","given":"Merav"}],"issued":{"date-parts":[["2012",7,1]]}},"suppress-author":true}],"schema":"https://github.com/citation-style-language/schema/raw/master/csl-citation.json"} </w:instrText>
      </w:r>
      <w:r w:rsidR="00261D9E" w:rsidRPr="00806BB7">
        <w:rPr>
          <w:rFonts w:cs="Times New Roman"/>
          <w:bCs/>
          <w:iCs/>
          <w:szCs w:val="24"/>
        </w:rPr>
        <w:fldChar w:fldCharType="separate"/>
      </w:r>
      <w:r w:rsidR="00261D9E" w:rsidRPr="00806BB7">
        <w:rPr>
          <w:rFonts w:cs="Times New Roman"/>
          <w:szCs w:val="24"/>
        </w:rPr>
        <w:t>(2012)</w:t>
      </w:r>
      <w:r w:rsidR="00261D9E" w:rsidRPr="00806BB7">
        <w:rPr>
          <w:rFonts w:cs="Times New Roman"/>
          <w:bCs/>
          <w:iCs/>
          <w:szCs w:val="24"/>
        </w:rPr>
        <w:fldChar w:fldCharType="end"/>
      </w:r>
      <w:r w:rsidR="002F2A84" w:rsidRPr="00806BB7">
        <w:rPr>
          <w:rFonts w:cs="Times New Roman"/>
          <w:bCs/>
          <w:iCs/>
          <w:szCs w:val="24"/>
        </w:rPr>
        <w:t xml:space="preserve"> converted reading scores to z-scores for accuracy and rate; the hyper-link provided for these population</w:t>
      </w:r>
      <w:r w:rsidR="00144F17" w:rsidRPr="00806BB7">
        <w:rPr>
          <w:rFonts w:cs="Times New Roman"/>
          <w:bCs/>
          <w:iCs/>
          <w:szCs w:val="24"/>
        </w:rPr>
        <w:t xml:space="preserve"> norms is no longer live and no cut-off </w:t>
      </w:r>
      <w:r w:rsidR="00E560AB" w:rsidRPr="00806BB7">
        <w:rPr>
          <w:rFonts w:cs="Times New Roman"/>
          <w:bCs/>
          <w:iCs/>
          <w:szCs w:val="24"/>
        </w:rPr>
        <w:t>score was explicitly provided in the</w:t>
      </w:r>
      <w:r w:rsidR="00144F17" w:rsidRPr="00806BB7">
        <w:rPr>
          <w:rFonts w:cs="Times New Roman"/>
          <w:bCs/>
          <w:iCs/>
          <w:szCs w:val="24"/>
        </w:rPr>
        <w:t xml:space="preserve"> publication. </w:t>
      </w:r>
      <w:r w:rsidR="00EE6E9C" w:rsidRPr="00806BB7">
        <w:rPr>
          <w:rFonts w:cs="Times New Roman"/>
          <w:bCs/>
          <w:iCs/>
          <w:szCs w:val="24"/>
        </w:rPr>
        <w:t xml:space="preserve">Wijnen et al. </w:t>
      </w:r>
      <w:r w:rsidR="00EE6E9C" w:rsidRPr="00806BB7">
        <w:rPr>
          <w:rFonts w:cs="Times New Roman"/>
          <w:bCs/>
          <w:iCs/>
          <w:szCs w:val="24"/>
        </w:rPr>
        <w:fldChar w:fldCharType="begin"/>
      </w:r>
      <w:r w:rsidR="00095E48" w:rsidRPr="00806BB7">
        <w:rPr>
          <w:rFonts w:cs="Times New Roman"/>
          <w:bCs/>
          <w:iCs/>
          <w:szCs w:val="24"/>
        </w:rPr>
        <w:instrText xml:space="preserve"> ADDIN ZOTERO_ITEM CSL_CITATION {"citationID":"rTYahTVr","properties":{"formattedCitation":"(2012)","plainCitation":"(2012)","noteIndex":0},"citationItems":[{"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uppress-author":true}],"schema":"https://github.com/citation-style-language/schema/raw/master/csl-citation.json"} </w:instrText>
      </w:r>
      <w:r w:rsidR="00EE6E9C" w:rsidRPr="00806BB7">
        <w:rPr>
          <w:rFonts w:cs="Times New Roman"/>
          <w:bCs/>
          <w:iCs/>
          <w:szCs w:val="24"/>
        </w:rPr>
        <w:fldChar w:fldCharType="separate"/>
      </w:r>
      <w:r w:rsidR="00EE6E9C" w:rsidRPr="00806BB7">
        <w:rPr>
          <w:rFonts w:cs="Times New Roman"/>
          <w:szCs w:val="24"/>
        </w:rPr>
        <w:t>(2012)</w:t>
      </w:r>
      <w:r w:rsidR="00EE6E9C" w:rsidRPr="00806BB7">
        <w:rPr>
          <w:rFonts w:cs="Times New Roman"/>
          <w:bCs/>
          <w:iCs/>
          <w:szCs w:val="24"/>
        </w:rPr>
        <w:fldChar w:fldCharType="end"/>
      </w:r>
      <w:r w:rsidR="00EE6E9C" w:rsidRPr="00806BB7">
        <w:rPr>
          <w:rFonts w:cs="Times New Roman"/>
          <w:bCs/>
          <w:iCs/>
          <w:szCs w:val="24"/>
        </w:rPr>
        <w:t xml:space="preserve"> included only participants who had been diagnosed by a certified psychologist and reading scores were average scores based on reading measures which were converted to a standard score. No cut-offs were explicitly provided in this publication nor were the criteria used to diagnose dyslexia in instances of professional assessment. </w:t>
      </w:r>
      <w:r w:rsidR="00144F17" w:rsidRPr="00806BB7">
        <w:rPr>
          <w:rFonts w:cs="Times New Roman"/>
          <w:bCs/>
          <w:iCs/>
          <w:szCs w:val="24"/>
        </w:rPr>
        <w:t xml:space="preserve">Agus et al. </w:t>
      </w:r>
      <w:r w:rsidR="00144F17" w:rsidRPr="00806BB7">
        <w:rPr>
          <w:rFonts w:cs="Times New Roman"/>
          <w:bCs/>
          <w:iCs/>
          <w:szCs w:val="24"/>
        </w:rPr>
        <w:fldChar w:fldCharType="begin"/>
      </w:r>
      <w:r w:rsidR="00095E48" w:rsidRPr="00806BB7">
        <w:rPr>
          <w:rFonts w:cs="Times New Roman"/>
          <w:bCs/>
          <w:iCs/>
          <w:szCs w:val="24"/>
        </w:rPr>
        <w:instrText xml:space="preserve"> ADDIN ZOTERO_ITEM CSL_CITATION {"citationID":"r6e0saSx","properties":{"formattedCitation":"(2014)","plainCitation":"(2014)","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suppress-author":true}],"schema":"https://github.com/citation-style-language/schema/raw/master/csl-citation.json"} </w:instrText>
      </w:r>
      <w:r w:rsidR="00144F17" w:rsidRPr="00806BB7">
        <w:rPr>
          <w:rFonts w:cs="Times New Roman"/>
          <w:bCs/>
          <w:iCs/>
          <w:szCs w:val="24"/>
        </w:rPr>
        <w:fldChar w:fldCharType="separate"/>
      </w:r>
      <w:r w:rsidR="00144F17" w:rsidRPr="00806BB7">
        <w:rPr>
          <w:rFonts w:cs="Times New Roman"/>
          <w:szCs w:val="24"/>
        </w:rPr>
        <w:t>(2014)</w:t>
      </w:r>
      <w:r w:rsidR="00144F17" w:rsidRPr="00806BB7">
        <w:rPr>
          <w:rFonts w:cs="Times New Roman"/>
          <w:bCs/>
          <w:iCs/>
          <w:szCs w:val="24"/>
        </w:rPr>
        <w:fldChar w:fldCharType="end"/>
      </w:r>
      <w:r w:rsidR="00144F17" w:rsidRPr="00806BB7">
        <w:rPr>
          <w:rFonts w:cs="Times New Roman"/>
          <w:bCs/>
          <w:iCs/>
          <w:szCs w:val="24"/>
        </w:rPr>
        <w:t xml:space="preserve"> used a reading fluency score</w:t>
      </w:r>
      <w:r w:rsidR="00EE6E9C" w:rsidRPr="00806BB7">
        <w:rPr>
          <w:rFonts w:cs="Times New Roman"/>
          <w:bCs/>
          <w:iCs/>
          <w:szCs w:val="24"/>
        </w:rPr>
        <w:t xml:space="preserve"> (average of </w:t>
      </w:r>
      <w:r w:rsidR="00144F17" w:rsidRPr="00806BB7">
        <w:rPr>
          <w:rFonts w:cs="Times New Roman"/>
          <w:bCs/>
          <w:iCs/>
          <w:szCs w:val="24"/>
        </w:rPr>
        <w:t>reading rate and accuracy)</w:t>
      </w:r>
      <w:r w:rsidR="00E560AB" w:rsidRPr="00806BB7">
        <w:rPr>
          <w:rFonts w:cs="Times New Roman"/>
          <w:bCs/>
          <w:iCs/>
          <w:szCs w:val="24"/>
        </w:rPr>
        <w:t xml:space="preserve"> </w:t>
      </w:r>
      <w:r w:rsidR="00EE6E9C" w:rsidRPr="00806BB7">
        <w:rPr>
          <w:rFonts w:cs="Times New Roman"/>
          <w:bCs/>
          <w:iCs/>
          <w:szCs w:val="24"/>
        </w:rPr>
        <w:t xml:space="preserve">as well as </w:t>
      </w:r>
      <w:r w:rsidR="00E560AB" w:rsidRPr="00806BB7">
        <w:rPr>
          <w:rFonts w:cs="Times New Roman"/>
          <w:bCs/>
          <w:iCs/>
          <w:szCs w:val="24"/>
        </w:rPr>
        <w:t xml:space="preserve">eligibility criteria </w:t>
      </w:r>
      <w:r w:rsidR="00EE6E9C" w:rsidRPr="00806BB7">
        <w:rPr>
          <w:rFonts w:cs="Times New Roman"/>
          <w:bCs/>
          <w:iCs/>
          <w:szCs w:val="24"/>
        </w:rPr>
        <w:t xml:space="preserve">that included </w:t>
      </w:r>
      <w:r w:rsidR="00E560AB" w:rsidRPr="00806BB7">
        <w:rPr>
          <w:rFonts w:cs="Times New Roman"/>
          <w:bCs/>
          <w:iCs/>
          <w:szCs w:val="24"/>
        </w:rPr>
        <w:t xml:space="preserve">a history of reading difficulties at school age and fluency score below the level of eighth grade. </w:t>
      </w:r>
      <w:r w:rsidR="00EE6E9C" w:rsidRPr="00806BB7">
        <w:rPr>
          <w:rFonts w:cs="Times New Roman"/>
          <w:bCs/>
          <w:iCs/>
          <w:szCs w:val="24"/>
        </w:rPr>
        <w:t>Finally, Daikhin</w:t>
      </w:r>
      <w:r w:rsidR="00541B60" w:rsidRPr="00806BB7">
        <w:rPr>
          <w:rFonts w:cs="Times New Roman"/>
          <w:bCs/>
          <w:iCs/>
          <w:szCs w:val="24"/>
        </w:rPr>
        <w:t xml:space="preserve"> et al.</w:t>
      </w:r>
      <w:r w:rsidR="00EE6E9C" w:rsidRPr="00806BB7">
        <w:rPr>
          <w:rFonts w:cs="Times New Roman"/>
          <w:bCs/>
          <w:iCs/>
          <w:szCs w:val="24"/>
        </w:rPr>
        <w:t xml:space="preserve"> </w:t>
      </w:r>
      <w:r w:rsidR="00EE6E9C" w:rsidRPr="00806BB7">
        <w:rPr>
          <w:rFonts w:cs="Times New Roman"/>
          <w:bCs/>
          <w:iCs/>
          <w:szCs w:val="24"/>
        </w:rPr>
        <w:fldChar w:fldCharType="begin"/>
      </w:r>
      <w:r w:rsidR="00095E48" w:rsidRPr="00806BB7">
        <w:rPr>
          <w:rFonts w:cs="Times New Roman"/>
          <w:bCs/>
          <w:iCs/>
          <w:szCs w:val="24"/>
        </w:rPr>
        <w:instrText xml:space="preserve"> ADDIN ZOTERO_ITEM CSL_CITATION {"citationID":"J3QWJ2lK","properties":{"formattedCitation":"(2017)","plainCitation":"(2017)","noteIndex":0},"citationItems":[{"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suppress-author":true}],"schema":"https://github.com/citation-style-language/schema/raw/master/csl-citation.json"} </w:instrText>
      </w:r>
      <w:r w:rsidR="00EE6E9C" w:rsidRPr="00806BB7">
        <w:rPr>
          <w:rFonts w:cs="Times New Roman"/>
          <w:bCs/>
          <w:iCs/>
          <w:szCs w:val="24"/>
        </w:rPr>
        <w:fldChar w:fldCharType="separate"/>
      </w:r>
      <w:r w:rsidR="00EE6E9C" w:rsidRPr="00806BB7">
        <w:rPr>
          <w:rFonts w:cs="Times New Roman"/>
          <w:szCs w:val="24"/>
        </w:rPr>
        <w:t>(2017)</w:t>
      </w:r>
      <w:r w:rsidR="00EE6E9C" w:rsidRPr="00806BB7">
        <w:rPr>
          <w:rFonts w:cs="Times New Roman"/>
          <w:bCs/>
          <w:iCs/>
          <w:szCs w:val="24"/>
        </w:rPr>
        <w:fldChar w:fldCharType="end"/>
      </w:r>
      <w:r w:rsidR="00EE6E9C" w:rsidRPr="00806BB7">
        <w:rPr>
          <w:rFonts w:cs="Times New Roman"/>
          <w:bCs/>
          <w:iCs/>
          <w:szCs w:val="24"/>
        </w:rPr>
        <w:t xml:space="preserve"> did explicitly provide a cut-off threshold for designating groups, but did capture performance via accuracy and rate scores. </w:t>
      </w:r>
    </w:p>
    <w:p w14:paraId="70BA3D43" w14:textId="0B7B001C" w:rsidR="00884B52" w:rsidRPr="00806BB7" w:rsidRDefault="00884B52" w:rsidP="00884B52">
      <w:pPr>
        <w:pStyle w:val="Heading3"/>
      </w:pPr>
      <w:bookmarkStart w:id="23" w:name="_Toc39065449"/>
      <w:r w:rsidRPr="00806BB7">
        <w:lastRenderedPageBreak/>
        <w:t>Miscellaneous Measures</w:t>
      </w:r>
      <w:bookmarkEnd w:id="23"/>
    </w:p>
    <w:p w14:paraId="3B12F358" w14:textId="7079F8E3" w:rsidR="00884B52" w:rsidRPr="00806BB7" w:rsidRDefault="00884B52" w:rsidP="00884B52">
      <w:pPr>
        <w:rPr>
          <w:rFonts w:cs="Times New Roman"/>
          <w:bCs/>
          <w:iCs/>
          <w:szCs w:val="24"/>
        </w:rPr>
      </w:pPr>
      <w:r w:rsidRPr="00806BB7">
        <w:rPr>
          <w:rFonts w:cs="Times New Roman"/>
          <w:bCs/>
          <w:iCs/>
          <w:szCs w:val="24"/>
        </w:rPr>
        <w:t>Although not of interest to this review, each study assessed at least one</w:t>
      </w:r>
      <w:r w:rsidR="00541B60" w:rsidRPr="00806BB7">
        <w:rPr>
          <w:rFonts w:cs="Times New Roman"/>
          <w:bCs/>
          <w:iCs/>
          <w:szCs w:val="24"/>
        </w:rPr>
        <w:t xml:space="preserve"> additional</w:t>
      </w:r>
      <w:r w:rsidRPr="00806BB7">
        <w:rPr>
          <w:rFonts w:cs="Times New Roman"/>
          <w:bCs/>
          <w:iCs/>
          <w:szCs w:val="24"/>
        </w:rPr>
        <w:t xml:space="preserve"> aspect of cognitive functioning. Five out of six studies </w:t>
      </w:r>
      <w:r w:rsidR="007567C6" w:rsidRPr="00806BB7">
        <w:rPr>
          <w:szCs w:val="24"/>
        </w:rPr>
        <w:fldChar w:fldCharType="begin"/>
      </w:r>
      <w:r w:rsidR="00903EDA">
        <w:rPr>
          <w:szCs w:val="24"/>
        </w:rPr>
        <w:instrText xml:space="preserve"> ADDIN ZOTERO_ITEM CSL_CITATION {"citationID":"RW7IuWKI","properties":{"formattedCitation":"(Agus et al., 2014; Merav Ahissar et al., 2006; Daikhin et al., 2017; Oganian &amp; Ahissar, 2012; Wijnen et al., 2012)","plainCitation":"(Agus et al., 2014; Merav Ahissar et al., 2006; Daikhin et al., 2017; Oganian &amp; Ahissar, 2012; Wijnen et al., 2012)","dontUpdate":true,"noteIndex":0},"citationItems":[{"id":360,"uris":["http://zotero.org/users/6317667/items/ULPSNIZ2"],"uri":["http://zotero.org/users/6317667/items/ULPSNIZ2"],"itemData":{"id":360,"type":"article-journal","abstract":"PURPOSE: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7567C6" w:rsidRPr="00806BB7">
        <w:rPr>
          <w:szCs w:val="24"/>
        </w:rPr>
        <w:fldChar w:fldCharType="separate"/>
      </w:r>
      <w:r w:rsidR="00AF062E" w:rsidRPr="00806BB7">
        <w:rPr>
          <w:rFonts w:cs="Times New Roman"/>
          <w:szCs w:val="24"/>
        </w:rPr>
        <w:t xml:space="preserve">(Agus et al., 2014; </w:t>
      </w:r>
      <w:r w:rsidR="00891A41" w:rsidRPr="00806BB7">
        <w:rPr>
          <w:rFonts w:cs="Times New Roman"/>
          <w:szCs w:val="24"/>
        </w:rPr>
        <w:t>Ahissar</w:t>
      </w:r>
      <w:r w:rsidR="00AF062E" w:rsidRPr="00806BB7">
        <w:rPr>
          <w:rFonts w:cs="Times New Roman"/>
          <w:szCs w:val="24"/>
        </w:rPr>
        <w:t xml:space="preserve"> et al., 2006; Daikhin et al., 2017; Oganian &amp; Ahissar, 2012; Wijnen et al., 2012)</w:t>
      </w:r>
      <w:r w:rsidR="007567C6" w:rsidRPr="00806BB7">
        <w:rPr>
          <w:szCs w:val="24"/>
        </w:rPr>
        <w:fldChar w:fldCharType="end"/>
      </w:r>
      <w:r w:rsidRPr="00806BB7">
        <w:rPr>
          <w:szCs w:val="24"/>
        </w:rPr>
        <w:t xml:space="preserve"> measured verbal working memory with the Dig</w:t>
      </w:r>
      <w:r w:rsidR="00D52431" w:rsidRPr="00806BB7">
        <w:rPr>
          <w:szCs w:val="24"/>
        </w:rPr>
        <w:t>it-span subtest of the WAIS-III</w:t>
      </w:r>
      <w:r w:rsidRPr="00806BB7">
        <w:rPr>
          <w:szCs w:val="24"/>
        </w:rPr>
        <w:t xml:space="preserve"> (Wechsler, 2000), and five out of six studies measured visuospatial reasoning with Block </w:t>
      </w:r>
      <w:r w:rsidR="00541B60" w:rsidRPr="00806BB7">
        <w:rPr>
          <w:szCs w:val="24"/>
        </w:rPr>
        <w:t>D</w:t>
      </w:r>
      <w:r w:rsidRPr="00806BB7">
        <w:rPr>
          <w:szCs w:val="24"/>
        </w:rPr>
        <w:t>esign</w:t>
      </w:r>
      <w:r w:rsidR="00432FCE" w:rsidRPr="00806BB7">
        <w:rPr>
          <w:szCs w:val="24"/>
        </w:rPr>
        <w:t xml:space="preserve"> </w:t>
      </w:r>
      <w:r w:rsidR="00432FCE" w:rsidRPr="00806BB7">
        <w:rPr>
          <w:szCs w:val="24"/>
        </w:rPr>
        <w:fldChar w:fldCharType="begin"/>
      </w:r>
      <w:r w:rsidR="00903EDA">
        <w:rPr>
          <w:szCs w:val="24"/>
        </w:rPr>
        <w:instrText xml:space="preserve"> ADDIN ZOTERO_ITEM CSL_CITATION {"citationID":"VQ1Zpgyi","properties":{"formattedCitation":"(Merav Ahissar et al., 2006; Daikhin et al., 2017; Oganian &amp; Ahissar, 2012)","plainCitation":"(Merav Ahissar et al., 2006; Daikhin et al., 2017; Oganian &amp; Ahissar, 2012)","dontUpdate":true,"noteIndex":0},"citationItems":[{"id":279,"uris":["http://zotero.org/users/6317667/items/PR33PC9V"],"uri":["http://zotero.org/users/6317667/items/PR33PC9V"],"itemData":{"id":279,"type":"article-journal","abstract":"In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skills","volume":"50","author":[{"family":"Oganian","given":"Yulia"},{"family":"Ahissar","given":"Merav"}],"issued":{"date-parts":[["2012",7,1]]}}}],"schema":"https://github.com/citation-style-language/schema/raw/master/csl-citation.json"} </w:instrText>
      </w:r>
      <w:r w:rsidR="00432FCE" w:rsidRPr="00806BB7">
        <w:rPr>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et al., 2006; Daikhin et al., 2017; Oganian &amp; Ahissar, 2012)</w:t>
      </w:r>
      <w:r w:rsidR="00432FCE" w:rsidRPr="00806BB7">
        <w:rPr>
          <w:szCs w:val="24"/>
        </w:rPr>
        <w:fldChar w:fldCharType="end"/>
      </w:r>
      <w:r w:rsidRPr="00806BB7">
        <w:rPr>
          <w:szCs w:val="24"/>
        </w:rPr>
        <w:t>, Picture Completion</w:t>
      </w:r>
      <w:r w:rsidR="00AC0FF1" w:rsidRPr="00806BB7">
        <w:rPr>
          <w:szCs w:val="24"/>
        </w:rPr>
        <w:t>,</w:t>
      </w:r>
      <w:r w:rsidRPr="00806BB7">
        <w:rPr>
          <w:szCs w:val="24"/>
        </w:rPr>
        <w:t xml:space="preserve"> and Matrices </w:t>
      </w:r>
      <w:r w:rsidR="00432FCE" w:rsidRPr="00806BB7">
        <w:rPr>
          <w:szCs w:val="24"/>
        </w:rPr>
        <w:fldChar w:fldCharType="begin"/>
      </w:r>
      <w:r w:rsidR="00095E48" w:rsidRPr="00806BB7">
        <w:rPr>
          <w:szCs w:val="24"/>
        </w:rPr>
        <w:instrText xml:space="preserve"> ADDIN ZOTERO_ITEM CSL_CITATION {"citationID":"tnuDbALt","properties":{"formattedCitation":"(Agus et al., 2014)","plainCitation":"(Agus et al., 2014)","noteIndex":0},"citationItems":[{"id":360,"uris":["http://zotero.org/users/6317667/items/ULPSNIZ2"],"uri":["http://zotero.org/users/6317667/items/ULPSNIZ2"],"itemData":{"id":360,"type":"article-journal","abstract":"PURPOSE: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R."},{"family":"Carrión-Castillo","given":"Amaia"},{"family":"Pressnitzer","given":"Daniel"},{"family":"Ramus","given":"Franck"}],"issued":{"date-parts":[["2014",6,1]]}}}],"schema":"https://github.com/citation-style-language/schema/raw/master/csl-citation.json"} </w:instrText>
      </w:r>
      <w:r w:rsidR="00432FCE" w:rsidRPr="00806BB7">
        <w:rPr>
          <w:szCs w:val="24"/>
        </w:rPr>
        <w:fldChar w:fldCharType="separate"/>
      </w:r>
      <w:r w:rsidR="00432FCE" w:rsidRPr="00806BB7">
        <w:rPr>
          <w:rFonts w:cs="Times New Roman"/>
          <w:szCs w:val="24"/>
        </w:rPr>
        <w:t>(Agus et al., 2014)</w:t>
      </w:r>
      <w:r w:rsidR="00432FCE" w:rsidRPr="00806BB7">
        <w:rPr>
          <w:szCs w:val="24"/>
        </w:rPr>
        <w:fldChar w:fldCharType="end"/>
      </w:r>
      <w:r w:rsidRPr="00806BB7">
        <w:rPr>
          <w:rFonts w:cs="Times New Roman"/>
          <w:bCs/>
          <w:iCs/>
          <w:szCs w:val="24"/>
        </w:rPr>
        <w:t xml:space="preserve"> subtest</w:t>
      </w:r>
      <w:r w:rsidR="00AC0FF1" w:rsidRPr="00806BB7">
        <w:rPr>
          <w:rFonts w:cs="Times New Roman"/>
          <w:bCs/>
          <w:iCs/>
          <w:szCs w:val="24"/>
        </w:rPr>
        <w:t>s</w:t>
      </w:r>
      <w:r w:rsidRPr="00806BB7">
        <w:rPr>
          <w:rFonts w:cs="Times New Roman"/>
          <w:bCs/>
          <w:iCs/>
          <w:szCs w:val="24"/>
        </w:rPr>
        <w:t xml:space="preserve"> of the </w:t>
      </w:r>
      <w:r w:rsidR="00D52431" w:rsidRPr="00806BB7">
        <w:rPr>
          <w:rFonts w:cs="Times New Roman"/>
          <w:bCs/>
          <w:iCs/>
          <w:szCs w:val="24"/>
        </w:rPr>
        <w:t>WAIS-III</w:t>
      </w:r>
      <w:r w:rsidRPr="00806BB7">
        <w:rPr>
          <w:rFonts w:cs="Times New Roman"/>
          <w:bCs/>
          <w:iCs/>
          <w:szCs w:val="24"/>
        </w:rPr>
        <w:t xml:space="preserve"> (Wechsler, 2000), and/or Raven’s Coloured Progressive Matrices</w:t>
      </w:r>
      <w:r w:rsidR="00432FCE" w:rsidRPr="00806BB7">
        <w:rPr>
          <w:rFonts w:cs="Times New Roman"/>
          <w:bCs/>
          <w:iCs/>
          <w:szCs w:val="24"/>
        </w:rPr>
        <w:t xml:space="preserve"> </w:t>
      </w:r>
      <w:r w:rsidR="00432FCE" w:rsidRPr="00806BB7">
        <w:rPr>
          <w:rFonts w:cs="Times New Roman"/>
          <w:bCs/>
          <w:iCs/>
          <w:szCs w:val="24"/>
        </w:rPr>
        <w:fldChar w:fldCharType="begin"/>
      </w:r>
      <w:r w:rsidR="00095E48" w:rsidRPr="00806BB7">
        <w:rPr>
          <w:rFonts w:cs="Times New Roman"/>
          <w:bCs/>
          <w:iCs/>
          <w:szCs w:val="24"/>
        </w:rPr>
        <w:instrText xml:space="preserve"> ADDIN ZOTERO_ITEM CSL_CITATION {"citationID":"fuJPzCVz","properties":{"formattedCitation":"(Agus et al., 2014; Di Filippo et al., 2008; Raven et al., 2003)","plainCitation":"(Agus et al., 2014; Di Filippo et al., 2008; Raven et al., 2003)","noteIndex":0},"citationItems":[{"id":360,"uris":["http://zotero.org/users/6317667/items/ULPSNIZ2"],"uri":["http://zotero.org/users/6317667/items/ULPSNIZ2"],"itemData":{"id":360,"type":"article-journal","abstract":"PURPOSE: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C."}],"issued":{"date-parts":[["2008"]]}}},{"id":355,"uris":["http://zotero.org/users/6317667/items/EQLHP4KM"],"uri":["http://zotero.org/users/6317667/items/EQLHP4KM"],"itemData":{"id":355,"type":"article-journal","title":"Manual for Raven's progressive matrices and vocabulary scales: Section 1: general overview","author":[{"family":"Raven","given":"John"},{"family":"Raven","given":"JA"},{"family":"Raven","given":"John C"},{"literal":"others"}],"issued":{"date-parts":[["2003"]]}}}],"schema":"https://github.com/citation-style-language/schema/raw/master/csl-citation.json"} </w:instrText>
      </w:r>
      <w:r w:rsidR="00432FCE" w:rsidRPr="00806BB7">
        <w:rPr>
          <w:rFonts w:cs="Times New Roman"/>
          <w:bCs/>
          <w:iCs/>
          <w:szCs w:val="24"/>
        </w:rPr>
        <w:fldChar w:fldCharType="separate"/>
      </w:r>
      <w:r w:rsidR="00432FCE" w:rsidRPr="00806BB7">
        <w:rPr>
          <w:rFonts w:cs="Times New Roman"/>
          <w:szCs w:val="24"/>
        </w:rPr>
        <w:t>(Agus et al., 2014; Di Filippo et al., 2008; Raven et al., 2003)</w:t>
      </w:r>
      <w:r w:rsidR="00432FCE" w:rsidRPr="00806BB7">
        <w:rPr>
          <w:rFonts w:cs="Times New Roman"/>
          <w:bCs/>
          <w:iCs/>
          <w:szCs w:val="24"/>
        </w:rPr>
        <w:fldChar w:fldCharType="end"/>
      </w:r>
      <w:r w:rsidRPr="00806BB7">
        <w:rPr>
          <w:rFonts w:cs="Times New Roman"/>
          <w:bCs/>
          <w:iCs/>
          <w:szCs w:val="24"/>
        </w:rPr>
        <w:t>.</w:t>
      </w:r>
    </w:p>
    <w:p w14:paraId="03B23D0E" w14:textId="7882CE8C" w:rsidR="00884B52" w:rsidRPr="00806BB7" w:rsidRDefault="00884B52" w:rsidP="00884B52">
      <w:pPr>
        <w:pStyle w:val="Heading2"/>
        <w:rPr>
          <w:szCs w:val="24"/>
        </w:rPr>
      </w:pPr>
      <w:bookmarkStart w:id="24" w:name="_Toc39065450"/>
      <w:r w:rsidRPr="00806BB7">
        <w:rPr>
          <w:szCs w:val="24"/>
        </w:rPr>
        <w:t>Participant Characteristics</w:t>
      </w:r>
      <w:bookmarkEnd w:id="24"/>
    </w:p>
    <w:p w14:paraId="0678D802" w14:textId="3AB28951" w:rsidR="00884B52" w:rsidRPr="00806BB7" w:rsidRDefault="00884B52" w:rsidP="00884B52">
      <w:pPr>
        <w:contextualSpacing/>
        <w:rPr>
          <w:rFonts w:cs="Times New Roman"/>
          <w:bCs/>
          <w:iCs/>
          <w:szCs w:val="24"/>
        </w:rPr>
      </w:pPr>
      <w:r w:rsidRPr="00806BB7">
        <w:rPr>
          <w:rFonts w:cs="Times New Roman"/>
          <w:bCs/>
          <w:iCs/>
          <w:szCs w:val="24"/>
        </w:rPr>
        <w:t xml:space="preserve">All studies reported age. The mean age of </w:t>
      </w:r>
      <w:r w:rsidR="00C23EAD">
        <w:rPr>
          <w:rFonts w:cs="Times New Roman"/>
          <w:bCs/>
          <w:iCs/>
          <w:szCs w:val="24"/>
        </w:rPr>
        <w:t xml:space="preserve">the </w:t>
      </w:r>
      <w:r w:rsidR="005811A8" w:rsidRPr="00806BB7">
        <w:rPr>
          <w:rFonts w:cs="Times New Roman"/>
          <w:bCs/>
          <w:iCs/>
          <w:szCs w:val="24"/>
        </w:rPr>
        <w:t>dyslexi</w:t>
      </w:r>
      <w:r w:rsidR="00C83592">
        <w:rPr>
          <w:rFonts w:cs="Times New Roman"/>
          <w:bCs/>
          <w:iCs/>
          <w:szCs w:val="24"/>
        </w:rPr>
        <w:t>c</w:t>
      </w:r>
      <w:r w:rsidR="005811A8" w:rsidRPr="00806BB7">
        <w:rPr>
          <w:rFonts w:cs="Times New Roman"/>
          <w:bCs/>
          <w:iCs/>
          <w:szCs w:val="24"/>
        </w:rPr>
        <w:t xml:space="preserve"> groups</w:t>
      </w:r>
      <w:r w:rsidRPr="00806BB7">
        <w:rPr>
          <w:rFonts w:cs="Times New Roman"/>
          <w:bCs/>
          <w:iCs/>
          <w:szCs w:val="24"/>
        </w:rPr>
        <w:t xml:space="preserve"> was 19.96 (SD = 5.9, </w:t>
      </w:r>
      <w:r w:rsidR="00A536B3" w:rsidRPr="00806BB7">
        <w:rPr>
          <w:rFonts w:cs="Times New Roman"/>
          <w:bCs/>
          <w:iCs/>
          <w:szCs w:val="24"/>
        </w:rPr>
        <w:t xml:space="preserve">mean </w:t>
      </w:r>
      <w:r w:rsidRPr="00806BB7">
        <w:rPr>
          <w:rFonts w:cs="Times New Roman"/>
          <w:bCs/>
          <w:iCs/>
          <w:szCs w:val="24"/>
        </w:rPr>
        <w:t xml:space="preserve">range: </w:t>
      </w:r>
      <w:r w:rsidR="00A536B3" w:rsidRPr="00806BB7">
        <w:rPr>
          <w:rFonts w:cs="Times New Roman"/>
          <w:bCs/>
          <w:iCs/>
          <w:szCs w:val="24"/>
        </w:rPr>
        <w:t>11.7 to 24.8</w:t>
      </w:r>
      <w:r w:rsidRPr="00806BB7">
        <w:rPr>
          <w:rFonts w:cs="Times New Roman"/>
          <w:bCs/>
          <w:iCs/>
          <w:szCs w:val="24"/>
        </w:rPr>
        <w:t xml:space="preserve">) years and controls 20.10 (SD = 6.16, </w:t>
      </w:r>
      <w:r w:rsidR="00A536B3" w:rsidRPr="00806BB7">
        <w:rPr>
          <w:rFonts w:cs="Times New Roman"/>
          <w:bCs/>
          <w:iCs/>
          <w:szCs w:val="24"/>
        </w:rPr>
        <w:t xml:space="preserve">mean </w:t>
      </w:r>
      <w:r w:rsidRPr="00806BB7">
        <w:rPr>
          <w:rFonts w:cs="Times New Roman"/>
          <w:bCs/>
          <w:iCs/>
          <w:szCs w:val="24"/>
        </w:rPr>
        <w:t xml:space="preserve">range: </w:t>
      </w:r>
      <w:r w:rsidR="00A536B3" w:rsidRPr="00806BB7">
        <w:rPr>
          <w:rFonts w:cs="Times New Roman"/>
          <w:bCs/>
          <w:iCs/>
          <w:szCs w:val="24"/>
        </w:rPr>
        <w:t>11.8 to 25.9</w:t>
      </w:r>
      <w:r w:rsidRPr="00806BB7">
        <w:rPr>
          <w:rFonts w:cs="Times New Roman"/>
          <w:bCs/>
          <w:iCs/>
          <w:szCs w:val="24"/>
        </w:rPr>
        <w:t xml:space="preserve">) years. The proportion of males (52.2% and 52.7%) to females (58.2% and 57.3%) for </w:t>
      </w:r>
      <w:r w:rsidR="002E0EA8" w:rsidRPr="00806BB7">
        <w:rPr>
          <w:rFonts w:cs="Times New Roman"/>
          <w:bCs/>
          <w:iCs/>
          <w:szCs w:val="24"/>
        </w:rPr>
        <w:t>dyslexia</w:t>
      </w:r>
      <w:r w:rsidRPr="00806BB7">
        <w:rPr>
          <w:rFonts w:cs="Times New Roman"/>
          <w:bCs/>
          <w:iCs/>
          <w:szCs w:val="24"/>
        </w:rPr>
        <w:t xml:space="preserve"> and controls </w:t>
      </w:r>
      <w:r w:rsidR="00B37FC7" w:rsidRPr="00806BB7">
        <w:rPr>
          <w:rFonts w:cs="Times New Roman"/>
          <w:bCs/>
          <w:iCs/>
          <w:szCs w:val="24"/>
        </w:rPr>
        <w:t xml:space="preserve">groups </w:t>
      </w:r>
      <w:r w:rsidRPr="00806BB7">
        <w:rPr>
          <w:rFonts w:cs="Times New Roman"/>
          <w:bCs/>
          <w:iCs/>
          <w:szCs w:val="24"/>
        </w:rPr>
        <w:t xml:space="preserve">were similar, respectively. No studies reported ethnicity. All studies reported </w:t>
      </w:r>
      <w:r w:rsidR="00284884" w:rsidRPr="00806BB7">
        <w:rPr>
          <w:rFonts w:cs="Times New Roman"/>
          <w:bCs/>
          <w:iCs/>
          <w:szCs w:val="24"/>
        </w:rPr>
        <w:t>the language</w:t>
      </w:r>
      <w:r w:rsidRPr="00806BB7">
        <w:rPr>
          <w:rFonts w:cs="Times New Roman"/>
          <w:bCs/>
          <w:iCs/>
          <w:szCs w:val="24"/>
        </w:rPr>
        <w:t xml:space="preserve"> used for assessment</w:t>
      </w:r>
      <w:r w:rsidR="00F45B5C" w:rsidRPr="00806BB7">
        <w:rPr>
          <w:rFonts w:cs="Times New Roman"/>
          <w:bCs/>
          <w:iCs/>
          <w:szCs w:val="24"/>
        </w:rPr>
        <w:t xml:space="preserve"> and in all </w:t>
      </w:r>
      <w:r w:rsidR="00AB7345" w:rsidRPr="00806BB7">
        <w:rPr>
          <w:rFonts w:cs="Times New Roman"/>
          <w:bCs/>
          <w:iCs/>
          <w:szCs w:val="24"/>
        </w:rPr>
        <w:t>cases,</w:t>
      </w:r>
      <w:r w:rsidR="00F45B5C" w:rsidRPr="00806BB7">
        <w:rPr>
          <w:rFonts w:cs="Times New Roman"/>
          <w:bCs/>
          <w:iCs/>
          <w:szCs w:val="24"/>
        </w:rPr>
        <w:t xml:space="preserve"> this was identical to language spoken</w:t>
      </w:r>
      <w:r w:rsidRPr="00806BB7">
        <w:rPr>
          <w:rFonts w:cs="Times New Roman"/>
          <w:bCs/>
          <w:iCs/>
          <w:szCs w:val="24"/>
        </w:rPr>
        <w:t xml:space="preserve">. Three studies were conducted in Hebrew </w:t>
      </w:r>
      <w:r w:rsidR="00F05E39" w:rsidRPr="00806BB7">
        <w:rPr>
          <w:rFonts w:cs="Times New Roman"/>
          <w:bCs/>
          <w:iCs/>
          <w:szCs w:val="24"/>
        </w:rPr>
        <w:fldChar w:fldCharType="begin"/>
      </w:r>
      <w:r w:rsidR="00903EDA">
        <w:rPr>
          <w:rFonts w:cs="Times New Roman"/>
          <w:bCs/>
          <w:iCs/>
          <w:szCs w:val="24"/>
        </w:rPr>
        <w:instrText xml:space="preserve"> ADDIN ZOTERO_ITEM CSL_CITATION {"citationID":"2vyO4suf","properties":{"formattedCitation":"(Merav Ahissar et al., 2006; Daikhin et al., 2017; Oganian &amp; Ahissar, 2012)","plainCitation":"(Merav Ahissar et al., 2006; Daikhin et al., 2017; Oganian &amp; Ahissar, 2012)","dontUpdate":true,"noteIndex":0},"citationItems":[{"id":279,"uris":["http://zotero.org/users/6317667/items/PR33PC9V"],"uri":["http://zotero.org/users/6317667/items/PR33PC9V"],"itemData":{"id":279,"type":"article-journal","abstract":"In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skills","volume":"50","author":[{"family":"Oganian","given":"Yulia"},{"family":"Ahissar","given":"Merav"}],"issued":{"date-parts":[["2012",7,1]]}}}],"schema":"https://github.com/citation-style-language/schema/raw/master/csl-citation.json"} </w:instrText>
      </w:r>
      <w:r w:rsidR="00F05E39" w:rsidRPr="00806BB7">
        <w:rPr>
          <w:rFonts w:cs="Times New Roman"/>
          <w:bCs/>
          <w:iCs/>
          <w:szCs w:val="24"/>
        </w:rPr>
        <w:fldChar w:fldCharType="separate"/>
      </w:r>
      <w:r w:rsidR="00AF062E" w:rsidRPr="00806BB7">
        <w:rPr>
          <w:rFonts w:cs="Times New Roman"/>
          <w:szCs w:val="24"/>
        </w:rPr>
        <w:t>(</w:t>
      </w:r>
      <w:r w:rsidR="00891A41" w:rsidRPr="00806BB7">
        <w:rPr>
          <w:rFonts w:cs="Times New Roman"/>
          <w:szCs w:val="24"/>
        </w:rPr>
        <w:t>Ahissar</w:t>
      </w:r>
      <w:r w:rsidR="00AF062E" w:rsidRPr="00806BB7">
        <w:rPr>
          <w:rFonts w:cs="Times New Roman"/>
          <w:szCs w:val="24"/>
        </w:rPr>
        <w:t xml:space="preserve"> et al., 2006; Daikhin et al., 2017; Oganian &amp; Ahissar, 2012)</w:t>
      </w:r>
      <w:r w:rsidR="00F05E39" w:rsidRPr="00806BB7">
        <w:rPr>
          <w:rFonts w:cs="Times New Roman"/>
          <w:bCs/>
          <w:iCs/>
          <w:szCs w:val="24"/>
        </w:rPr>
        <w:fldChar w:fldCharType="end"/>
      </w:r>
      <w:r w:rsidRPr="00806BB7">
        <w:rPr>
          <w:rFonts w:cs="Times New Roman"/>
          <w:bCs/>
          <w:iCs/>
          <w:szCs w:val="24"/>
        </w:rPr>
        <w:t xml:space="preserve">, one study in Italian </w:t>
      </w:r>
      <w:r w:rsidR="00F05E39" w:rsidRPr="00806BB7">
        <w:rPr>
          <w:rFonts w:cs="Times New Roman"/>
          <w:bCs/>
          <w:iCs/>
          <w:szCs w:val="24"/>
        </w:rPr>
        <w:fldChar w:fldCharType="begin"/>
      </w:r>
      <w:r w:rsidR="00095E48" w:rsidRPr="00806BB7">
        <w:rPr>
          <w:rFonts w:cs="Times New Roman"/>
          <w:bCs/>
          <w:iCs/>
          <w:szCs w:val="24"/>
        </w:rPr>
        <w:instrText xml:space="preserve"> ADDIN ZOTERO_ITEM CSL_CITATION {"citationID":"wlNfBU4V","properties":{"formattedCitation":"(Di Filippo et al., 2008)","plainCitation":"(Di Filippo et al., 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C."}],"issued":{"date-parts":[["2008"]]}}}],"schema":"https://github.com/citation-style-language/schema/raw/master/csl-citation.json"} </w:instrText>
      </w:r>
      <w:r w:rsidR="00F05E39" w:rsidRPr="00806BB7">
        <w:rPr>
          <w:rFonts w:cs="Times New Roman"/>
          <w:bCs/>
          <w:iCs/>
          <w:szCs w:val="24"/>
        </w:rPr>
        <w:fldChar w:fldCharType="separate"/>
      </w:r>
      <w:r w:rsidR="00F05E39" w:rsidRPr="00806BB7">
        <w:rPr>
          <w:rFonts w:cs="Times New Roman"/>
          <w:szCs w:val="24"/>
        </w:rPr>
        <w:t>(Di Filippo et al., 2008)</w:t>
      </w:r>
      <w:r w:rsidR="00F05E39" w:rsidRPr="00806BB7">
        <w:rPr>
          <w:rFonts w:cs="Times New Roman"/>
          <w:bCs/>
          <w:iCs/>
          <w:szCs w:val="24"/>
        </w:rPr>
        <w:fldChar w:fldCharType="end"/>
      </w:r>
      <w:r w:rsidR="00F05E39" w:rsidRPr="00806BB7">
        <w:rPr>
          <w:rFonts w:cs="Times New Roman"/>
          <w:bCs/>
          <w:iCs/>
          <w:szCs w:val="24"/>
        </w:rPr>
        <w:t xml:space="preserve">, one study in Dutch </w:t>
      </w:r>
      <w:r w:rsidR="00F05E39" w:rsidRPr="00806BB7">
        <w:rPr>
          <w:rFonts w:cs="Times New Roman"/>
          <w:bCs/>
          <w:iCs/>
          <w:szCs w:val="24"/>
        </w:rPr>
        <w:fldChar w:fldCharType="begin"/>
      </w:r>
      <w:r w:rsidR="00095E48" w:rsidRPr="00806BB7">
        <w:rPr>
          <w:rFonts w:cs="Times New Roman"/>
          <w:bCs/>
          <w:iCs/>
          <w:szCs w:val="24"/>
        </w:rPr>
        <w:instrText xml:space="preserve"> ADDIN ZOTERO_ITEM CSL_CITATION {"citationID":"ZsKIs6gA","properties":{"formattedCitation":"(Wijnen et al., 2012)","plainCitation":"(Wijnen et al., 2012)","noteIndex":0},"citationItems":[{"id":35,"uris":["http://zotero.org/users/6317667/items/RNLQW3DM"],"uri":["http://zotero.org/users/6317667/items/RNLQW3DM"],"itemData":{"id":35,"type":"article-journal","abstract":"A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F05E39" w:rsidRPr="00806BB7">
        <w:rPr>
          <w:rFonts w:cs="Times New Roman"/>
          <w:bCs/>
          <w:iCs/>
          <w:szCs w:val="24"/>
        </w:rPr>
        <w:fldChar w:fldCharType="separate"/>
      </w:r>
      <w:r w:rsidR="00F05E39" w:rsidRPr="00806BB7">
        <w:rPr>
          <w:rFonts w:cs="Times New Roman"/>
          <w:szCs w:val="24"/>
        </w:rPr>
        <w:t>(Wijnen et al., 2012)</w:t>
      </w:r>
      <w:r w:rsidR="00F05E39" w:rsidRPr="00806BB7">
        <w:rPr>
          <w:rFonts w:cs="Times New Roman"/>
          <w:bCs/>
          <w:iCs/>
          <w:szCs w:val="24"/>
        </w:rPr>
        <w:fldChar w:fldCharType="end"/>
      </w:r>
      <w:r w:rsidRPr="00806BB7">
        <w:rPr>
          <w:rFonts w:cs="Times New Roman"/>
          <w:bCs/>
          <w:iCs/>
          <w:szCs w:val="24"/>
        </w:rPr>
        <w:t>, and o</w:t>
      </w:r>
      <w:r w:rsidR="00F05E39" w:rsidRPr="00806BB7">
        <w:rPr>
          <w:rFonts w:cs="Times New Roman"/>
          <w:bCs/>
          <w:iCs/>
          <w:szCs w:val="24"/>
        </w:rPr>
        <w:t xml:space="preserve">ne in French </w:t>
      </w:r>
      <w:r w:rsidR="00F05E39" w:rsidRPr="00806BB7">
        <w:rPr>
          <w:rFonts w:cs="Times New Roman"/>
          <w:bCs/>
          <w:iCs/>
          <w:szCs w:val="24"/>
        </w:rPr>
        <w:fldChar w:fldCharType="begin"/>
      </w:r>
      <w:r w:rsidR="00095E48" w:rsidRPr="00806BB7">
        <w:rPr>
          <w:rFonts w:cs="Times New Roman"/>
          <w:bCs/>
          <w:iCs/>
          <w:szCs w:val="24"/>
        </w:rPr>
        <w:instrText xml:space="preserve"> ADDIN ZOTERO_ITEM CSL_CITATION {"citationID":"gwRYn2Qr","properties":{"formattedCitation":"(Agus et al., 2014)","plainCitation":"(Agus et al., 2014)","noteIndex":0},"citationItems":[{"id":360,"uris":["http://zotero.org/users/6317667/items/ULPSNIZ2"],"uri":["http://zotero.org/users/6317667/items/ULPSNIZ2"],"itemData":{"id":360,"type":"article-journal","abstract":"PURPOSE: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R."},{"family":"Carrión-Castillo","given":"Amaia"},{"family":"Pressnitzer","given":"Daniel"},{"family":"Ramus","given":"Franck"}],"issued":{"date-parts":[["2014",6,1]]}}}],"schema":"https://github.com/citation-style-language/schema/raw/master/csl-citation.json"} </w:instrText>
      </w:r>
      <w:r w:rsidR="00F05E39" w:rsidRPr="00806BB7">
        <w:rPr>
          <w:rFonts w:cs="Times New Roman"/>
          <w:bCs/>
          <w:iCs/>
          <w:szCs w:val="24"/>
        </w:rPr>
        <w:fldChar w:fldCharType="separate"/>
      </w:r>
      <w:r w:rsidR="00F05E39" w:rsidRPr="00806BB7">
        <w:rPr>
          <w:rFonts w:cs="Times New Roman"/>
          <w:szCs w:val="24"/>
        </w:rPr>
        <w:t>(Agus et al., 2014)</w:t>
      </w:r>
      <w:r w:rsidR="00F05E39" w:rsidRPr="00806BB7">
        <w:rPr>
          <w:rFonts w:cs="Times New Roman"/>
          <w:bCs/>
          <w:iCs/>
          <w:szCs w:val="24"/>
        </w:rPr>
        <w:fldChar w:fldCharType="end"/>
      </w:r>
      <w:r w:rsidRPr="00806BB7">
        <w:rPr>
          <w:rFonts w:cs="Times New Roman"/>
          <w:bCs/>
          <w:iCs/>
          <w:szCs w:val="24"/>
        </w:rPr>
        <w:t>. In two studies, the poor-reading group comprised of participants previously diagnosed wit</w:t>
      </w:r>
      <w:r w:rsidR="00F05E39" w:rsidRPr="00806BB7">
        <w:rPr>
          <w:rFonts w:cs="Times New Roman"/>
          <w:bCs/>
          <w:iCs/>
          <w:szCs w:val="24"/>
        </w:rPr>
        <w:t xml:space="preserve">h a reading impairment </w:t>
      </w:r>
      <w:r w:rsidR="00F05E39" w:rsidRPr="00806BB7">
        <w:rPr>
          <w:rFonts w:cs="Times New Roman"/>
          <w:bCs/>
          <w:iCs/>
          <w:szCs w:val="24"/>
        </w:rPr>
        <w:fldChar w:fldCharType="begin"/>
      </w:r>
      <w:r w:rsidR="00095E48" w:rsidRPr="00806BB7">
        <w:rPr>
          <w:rFonts w:cs="Times New Roman"/>
          <w:bCs/>
          <w:iCs/>
          <w:szCs w:val="24"/>
        </w:rPr>
        <w:instrText xml:space="preserve"> ADDIN ZOTERO_ITEM CSL_CITATION {"citationID":"G0cb9aSS","properties":{"formattedCitation":"(Oganian &amp; Ahissar, 2012; Wijnen et al., 2012)","plainCitation":"(Oganian &amp; Ahissar, 2012; Wijnen et al., 2012)","noteIndex":0},"citationItems":[{"id":285,"uris":["http://zotero.org/users/6317667/items/SPRNJM47"],"uri":["http://zotero.org/users/6317667/items/SPRNJM47"],"itemData":{"id":285,"type":"article-journal","abstract":"The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F05E39" w:rsidRPr="00806BB7">
        <w:rPr>
          <w:rFonts w:cs="Times New Roman"/>
          <w:bCs/>
          <w:iCs/>
          <w:szCs w:val="24"/>
        </w:rPr>
        <w:fldChar w:fldCharType="separate"/>
      </w:r>
      <w:r w:rsidR="00F05E39" w:rsidRPr="00806BB7">
        <w:rPr>
          <w:rFonts w:cs="Times New Roman"/>
          <w:szCs w:val="24"/>
        </w:rPr>
        <w:t>(Oganian &amp; Ahissar, 2012; Wijnen et al., 2012)</w:t>
      </w:r>
      <w:r w:rsidR="00F05E39" w:rsidRPr="00806BB7">
        <w:rPr>
          <w:rFonts w:cs="Times New Roman"/>
          <w:bCs/>
          <w:iCs/>
          <w:szCs w:val="24"/>
        </w:rPr>
        <w:fldChar w:fldCharType="end"/>
      </w:r>
      <w:r w:rsidRPr="00806BB7">
        <w:rPr>
          <w:rFonts w:cs="Times New Roman"/>
          <w:bCs/>
          <w:iCs/>
          <w:szCs w:val="24"/>
        </w:rPr>
        <w:t>. All studies included an assessment of sensory modality required for perceptual measure. Four studies required a self-report of his</w:t>
      </w:r>
      <w:r w:rsidR="00F05E39" w:rsidRPr="00806BB7">
        <w:rPr>
          <w:rFonts w:cs="Times New Roman"/>
          <w:bCs/>
          <w:iCs/>
          <w:szCs w:val="24"/>
        </w:rPr>
        <w:t xml:space="preserve">tory of normal/typical hearing </w:t>
      </w:r>
      <w:r w:rsidR="00F05E39" w:rsidRPr="00806BB7">
        <w:rPr>
          <w:rFonts w:cs="Times New Roman"/>
          <w:bCs/>
          <w:iCs/>
          <w:szCs w:val="24"/>
        </w:rPr>
        <w:fldChar w:fldCharType="begin"/>
      </w:r>
      <w:r w:rsidR="00903EDA">
        <w:rPr>
          <w:rFonts w:cs="Times New Roman"/>
          <w:bCs/>
          <w:iCs/>
          <w:szCs w:val="24"/>
        </w:rPr>
        <w:instrText xml:space="preserve"> ADDIN ZOTERO_ITEM CSL_CITATION {"citationID":"1fV45L5U","properties":{"formattedCitation":"(Agus et al., 2014; Merav Ahissar et al., 2006; Daikhin et al., 2017; Wijnen et al., 2012)","plainCitation":"(Agus et al., 2014; Merav Ahissar et al., 2006; Daikhin et al., 2017; Wijnen et al., 2012)","dontUpdate":true,"noteIndex":0},"citationItems":[{"id":360,"uris":["http://zotero.org/users/6317667/items/ULPSNIZ2"],"uri":["http://zotero.org/users/6317667/items/ULPSNIZ2"],"itemData":{"id":360,"type":"article-journal","abstract":"PURPOSE: A phonological deficit is thought to affect most individuals with developmental dyslexia. The present study addresses whether the phonological deficit is caused by difficulties with perceptual learning of fine acoustic details.\nMETHOD: A demanding test of nonverbal auditory memory, \"noise learning,\" was administered to both adults with dyslexia and control adult participants. On each trial, listeners had to decide whether a stimulus was a 1-s noise token or 2 abutting presentations of the same 0.5-s noise token (repeated noise). Without the listener's knowledge, the exact same noise tokens were presented over many trials. An improved ability to perform the task for such \"reference\" noises reflects learning of their acoustic details.\nRESULTS: Listeners with dyslexia did not differ from controls in any aspect of the task, qualitatively or quantitatively. They required the same amount of training to achieve discrimination of repeated from nonrepeated noises, and they learned the reference noises as often and as rapidly as the control group. However, they did show all the hallmarks of dyslexia, including a well-characterized phonological deficit.\nCONCLUSION: The data did not support the hypothesis that deficits in basic auditory processing or nonverbal learning and memory are the cause of the phonological deficit in dyslexia.","container-title":"Journal of speech, language, and hearing research: JSLHR","DOI":"10.1044/1092-4388(2013/13-0020)","ISSN":"1558-9102","issue":"3","journalAbbreviation":"J. Speech Lang. Hear. Res.","language":"eng","note":"PMID: 24167235","page":"1069-1077","source":"PubMed","title":"Perceptual learning of acoustic noise by individuals with dyslexia","volume":"57","author":[{"family":"Agus","given":"Trevor R."},{"family":"Carrión-Castillo","given":"Amaia"},{"family":"Pressnitzer","given":"Daniel"},{"family":"Ramus","given":"Franck"}],"issued":{"date-parts":[["2014",6,1]]}}},{"id":279,"uris":["http://zotero.org/users/6317667/items/PR33PC9V"],"uri":["http://zotero.org/users/6317667/items/PR33PC9V"],"itemData":{"id":279,"type":"article-journal","abstract":"In a large subgroup of dyslexic individuals (D-LDs), reading difficulties are part of a broader learning and language disability. Recent studies indicate that D-LDs perform poorly in many psychoacoustic tasks compared with individuals with normal reading ability. We found that D-LDs perform as well as normal readers in speech perception in noise and in a difficult tone comparison task. However, their performance did not improve when these same tasks were performed with a smaller stimulus set. In contrast to normal readers, they did not benefit from stimulus-specific repetitions, suggesting that they have difficulties forming perceptual anchors. These findings are inconsistent with previously suggested static models of dyslexia. Instead, we propose that D-LDs' core deficit is a general difficulty in dynamically constructing stimulus-specific predictions, deriving from deficient stimulus-specific adaptation mechanisms. This hypothesis provides a direct link between D-LDs' high-level difficulties and mechanisms at the level of specific neuronal circuits.","container-title":"Nature Neuroscience","DOI":"10.1038/nn1800","ISSN":"1546-1726","issue":"12","language":"en","note":"number: 12\npublisher: Nature Publishing Group","page":"1558-1564","source":"www-nature-com.simsrad.net.ocs.mq.edu.au","title":"Dyslexia and the failure to form a perceptual anchor","volume":"9","author":[{"family":"Ahissar","given":"Merav"},{"family":"Lubin","given":"Yedida"},{"family":"Putter-Katz","given":"Hanna"},{"family":"Banai","given":"Karen"}],"issued":{"date-parts":[["2006",12]]}}},{"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F05E39" w:rsidRPr="00806BB7">
        <w:rPr>
          <w:rFonts w:cs="Times New Roman"/>
          <w:bCs/>
          <w:iCs/>
          <w:szCs w:val="24"/>
        </w:rPr>
        <w:fldChar w:fldCharType="separate"/>
      </w:r>
      <w:r w:rsidR="00AF062E" w:rsidRPr="00806BB7">
        <w:rPr>
          <w:rFonts w:cs="Times New Roman"/>
          <w:szCs w:val="24"/>
        </w:rPr>
        <w:t xml:space="preserve">(Agus et al., 2014; </w:t>
      </w:r>
      <w:r w:rsidR="00891A41" w:rsidRPr="00806BB7">
        <w:rPr>
          <w:rFonts w:cs="Times New Roman"/>
          <w:szCs w:val="24"/>
        </w:rPr>
        <w:t>Ahissar</w:t>
      </w:r>
      <w:r w:rsidR="00AF062E" w:rsidRPr="00806BB7">
        <w:rPr>
          <w:rFonts w:cs="Times New Roman"/>
          <w:szCs w:val="24"/>
        </w:rPr>
        <w:t xml:space="preserve"> et al., 2006; Daikhin et al., 2017; Wijnen et al., 2012)</w:t>
      </w:r>
      <w:r w:rsidR="00F05E39" w:rsidRPr="00806BB7">
        <w:rPr>
          <w:rFonts w:cs="Times New Roman"/>
          <w:bCs/>
          <w:iCs/>
          <w:szCs w:val="24"/>
        </w:rPr>
        <w:fldChar w:fldCharType="end"/>
      </w:r>
      <w:r w:rsidRPr="00806BB7">
        <w:rPr>
          <w:rFonts w:cs="Times New Roman"/>
          <w:bCs/>
          <w:iCs/>
          <w:szCs w:val="24"/>
        </w:rPr>
        <w:t>, one completed basic audi</w:t>
      </w:r>
      <w:r w:rsidR="00F05E39" w:rsidRPr="00806BB7">
        <w:rPr>
          <w:rFonts w:cs="Times New Roman"/>
          <w:bCs/>
          <w:iCs/>
          <w:szCs w:val="24"/>
        </w:rPr>
        <w:t xml:space="preserve">ometry </w:t>
      </w:r>
      <w:r w:rsidR="00F05E39" w:rsidRPr="00806BB7">
        <w:rPr>
          <w:rFonts w:cs="Times New Roman"/>
          <w:bCs/>
          <w:iCs/>
          <w:szCs w:val="24"/>
        </w:rPr>
        <w:fldChar w:fldCharType="begin"/>
      </w:r>
      <w:r w:rsidR="00095E48" w:rsidRPr="00806BB7">
        <w:rPr>
          <w:rFonts w:cs="Times New Roman"/>
          <w:bCs/>
          <w:iCs/>
          <w:szCs w:val="24"/>
        </w:rPr>
        <w:instrText xml:space="preserve"> ADDIN ZOTERO_ITEM CSL_CITATION {"citationID":"hG7fL7MG","properties":{"formattedCitation":"(Oganian &amp; Ahissar, 2012)","plainCitation":"(Oganian &amp; Ahissar, 2012)","noteIndex":0},"citationItems":[{"id":285,"uris":["http://zotero.org/users/6317667/items/SPRNJM47"],"uri":["http://zotero.org/users/6317667/items/SPRNJM47"],"itemData":{"id":285,"type":"article-journal","abstract":"The basic deficits underlying the severe and persistent reading difficulties in dyslexia are still highly debated. One of the major topics of debate is whether these deficits are language specific, or affect both verbal and non-verbal stimuli. Recently, Ahissar and colleagues proposed the “anchoring-deficit hypothesis” (Ahissar, Lubin, Putter-Katz, &amp; Banai, 2006), which suggests that dyslexics have a general difficulty in automatic extraction of stimulus regularities from auditory inputs. This hypothesis explained a broad range of dyslexics' verbal and non-verbal difficulties. However, it was not directly tested in the context of reading and verbal memory, which poses the main stumbling blocks to dyslexics. Here we assessed the abilities of adult dyslexics to efficiently benefit from (“anchor to”) regularities embedded in repeated tones, orally presented syllables, and written words. We also compared dyslexics' performance to that of individuals with attention disorder (ADHD), but no reading disability. We found an anchoring effect in all groups: all gained from stimulus repetition. However, in line with the anchoring-deficit hypothesis, controls and ADHD participants showed a significantly larger anchoring effect in all tasks. This study is the first that directly shows that the same domain-general deficit, poor anchoring, characterizes dyslexics' performance in perceptual, working memory and reading tasks.","container-title":"Neuropsychologia","DOI":"10.1016/j.neuropsychologia.2012.04.014","ISSN":"0028-3932","issue":"8","journalAbbreviation":"Neuropsychologia","language":"en","page":"1895-1905","source":"ScienceDirect","title":"Poor anchoring limits dyslexics' perceptual, memory, and reading skills","volume":"50","author":[{"family":"Oganian","given":"Yulia"},{"family":"Ahissar","given":"Merav"}],"issued":{"date-parts":[["2012",7,1]]}}}],"schema":"https://github.com/citation-style-language/schema/raw/master/csl-citation.json"} </w:instrText>
      </w:r>
      <w:r w:rsidR="00F05E39" w:rsidRPr="00806BB7">
        <w:rPr>
          <w:rFonts w:cs="Times New Roman"/>
          <w:bCs/>
          <w:iCs/>
          <w:szCs w:val="24"/>
        </w:rPr>
        <w:fldChar w:fldCharType="separate"/>
      </w:r>
      <w:r w:rsidR="00F05E39" w:rsidRPr="00806BB7">
        <w:rPr>
          <w:rFonts w:cs="Times New Roman"/>
          <w:szCs w:val="24"/>
        </w:rPr>
        <w:t>(Oganian &amp; Ahissar, 2012)</w:t>
      </w:r>
      <w:r w:rsidR="00F05E39" w:rsidRPr="00806BB7">
        <w:rPr>
          <w:rFonts w:cs="Times New Roman"/>
          <w:bCs/>
          <w:iCs/>
          <w:szCs w:val="24"/>
        </w:rPr>
        <w:fldChar w:fldCharType="end"/>
      </w:r>
      <w:r w:rsidRPr="00806BB7">
        <w:rPr>
          <w:rFonts w:cs="Times New Roman"/>
          <w:bCs/>
          <w:iCs/>
          <w:szCs w:val="24"/>
        </w:rPr>
        <w:t xml:space="preserve">, and one required a self-reported history of normal/typical vision </w:t>
      </w:r>
      <w:r w:rsidR="00F05E39" w:rsidRPr="00806BB7">
        <w:rPr>
          <w:rFonts w:cs="Times New Roman"/>
          <w:bCs/>
          <w:iCs/>
          <w:szCs w:val="24"/>
        </w:rPr>
        <w:fldChar w:fldCharType="begin"/>
      </w:r>
      <w:r w:rsidR="00095E48" w:rsidRPr="00806BB7">
        <w:rPr>
          <w:rFonts w:cs="Times New Roman"/>
          <w:bCs/>
          <w:iCs/>
          <w:szCs w:val="24"/>
        </w:rPr>
        <w:instrText xml:space="preserve"> ADDIN ZOTERO_ITEM CSL_CITATION {"citationID":"wuLEeCcc","properties":{"formattedCitation":"(Di Filippo et al., 2008)","plainCitation":"(Di Filippo et al., 2008)","noteIndex":0},"citationItems":[{"id":76,"uris":["http://zotero.org/users/6317667/items/6RYB68E4"],"uri":["http://zotero.org/users/6317667/items/6RYB68E4"],"itemData":{"id":76,"type":"article-journal","abstract":"According to a recent theory of dyslexia, the perceptual anchor theory, children with dyslexia show deficits in classic auditory and phonological tasks not because they have auditory or phonological impairments but because they are unable to form a ‘perceptual anchor’ in tasks that rely on a small set of repeated stimuli. The theory makes the strong prediction that rapid naming deficits should only be present in small sets of repeated items, not in large sets of unrepeated items. The present research tested this prediction by comparing rapid naming performance of a small set of repeated items with that of a large set of unrepeated items. The results were unequivocal. Deficits were found both for small and large sets of objects and numbers. The deficit was actually bigger for large sets than for small sets, which is the opposite of the prediction made by the anchor theory. In conclusion, the perceptual anchor theory does not provide a satisfactory account of some of the major hallmark effects of developmental dyslexia.","container-title":"Developmental Science","DOI":"10.1111/j.1467-7687.2008.00752.x","ISSN":"1363-755X","issue":"6","page":"F40-F47","title":"Rapid naming deficits in dyslexia: a stumbling block for the perceptual anchor theory of dyslexia","volume":"11","author":[{"family":"Di Filippo","given":"Gloria"},{"family":"Zoccolotti","given":"Pierluigi"},{"family":"Ziegler","given":"Johannes C."}],"issued":{"date-parts":[["2008"]]}}}],"schema":"https://github.com/citation-style-language/schema/raw/master/csl-citation.json"} </w:instrText>
      </w:r>
      <w:r w:rsidR="00F05E39" w:rsidRPr="00806BB7">
        <w:rPr>
          <w:rFonts w:cs="Times New Roman"/>
          <w:bCs/>
          <w:iCs/>
          <w:szCs w:val="24"/>
        </w:rPr>
        <w:fldChar w:fldCharType="separate"/>
      </w:r>
      <w:r w:rsidR="00F05E39" w:rsidRPr="00806BB7">
        <w:rPr>
          <w:rFonts w:cs="Times New Roman"/>
          <w:szCs w:val="24"/>
        </w:rPr>
        <w:t>(Di Filippo et al., 2008)</w:t>
      </w:r>
      <w:r w:rsidR="00F05E39" w:rsidRPr="00806BB7">
        <w:rPr>
          <w:rFonts w:cs="Times New Roman"/>
          <w:bCs/>
          <w:iCs/>
          <w:szCs w:val="24"/>
        </w:rPr>
        <w:fldChar w:fldCharType="end"/>
      </w:r>
      <w:r w:rsidR="00F05E39" w:rsidRPr="00806BB7">
        <w:rPr>
          <w:rFonts w:cs="Times New Roman"/>
          <w:bCs/>
          <w:iCs/>
          <w:szCs w:val="24"/>
        </w:rPr>
        <w:t>.</w:t>
      </w:r>
    </w:p>
    <w:p w14:paraId="65037FC5" w14:textId="19A7EC4D" w:rsidR="00884B52" w:rsidRPr="00806BB7" w:rsidRDefault="00884B52" w:rsidP="00884B52">
      <w:pPr>
        <w:pStyle w:val="Heading2"/>
        <w:rPr>
          <w:szCs w:val="24"/>
        </w:rPr>
      </w:pPr>
      <w:bookmarkStart w:id="25" w:name="_Toc39065451"/>
      <w:r w:rsidRPr="00806BB7">
        <w:rPr>
          <w:szCs w:val="24"/>
        </w:rPr>
        <w:lastRenderedPageBreak/>
        <w:t xml:space="preserve">Meta-analysis of </w:t>
      </w:r>
      <w:bookmarkEnd w:id="25"/>
      <w:r w:rsidR="00D41ACD" w:rsidRPr="00806BB7">
        <w:rPr>
          <w:szCs w:val="24"/>
        </w:rPr>
        <w:t xml:space="preserve">Perceptual Anchoring </w:t>
      </w:r>
      <w:r w:rsidR="00E766A0" w:rsidRPr="00806BB7">
        <w:rPr>
          <w:szCs w:val="24"/>
        </w:rPr>
        <w:t xml:space="preserve">in </w:t>
      </w:r>
      <w:r w:rsidR="00D41ACD" w:rsidRPr="00806BB7">
        <w:rPr>
          <w:szCs w:val="24"/>
        </w:rPr>
        <w:t>Dyslexia</w:t>
      </w:r>
    </w:p>
    <w:p w14:paraId="2692CB4D" w14:textId="44716377" w:rsidR="008D02B2" w:rsidRPr="00806BB7" w:rsidRDefault="00884B52" w:rsidP="00884B52">
      <w:pPr>
        <w:rPr>
          <w:rFonts w:cs="Times New Roman"/>
          <w:bCs/>
          <w:iCs/>
          <w:szCs w:val="24"/>
        </w:rPr>
      </w:pPr>
      <w:r w:rsidRPr="00806BB7">
        <w:rPr>
          <w:rFonts w:cs="Times New Roman"/>
          <w:bCs/>
          <w:iCs/>
          <w:szCs w:val="24"/>
        </w:rPr>
        <w:t xml:space="preserve">Of the six studies, five provided data for </w:t>
      </w:r>
      <w:r w:rsidR="002E0EA8" w:rsidRPr="00806BB7">
        <w:rPr>
          <w:rFonts w:cs="Times New Roman"/>
          <w:bCs/>
          <w:iCs/>
          <w:szCs w:val="24"/>
        </w:rPr>
        <w:t>dyslexia</w:t>
      </w:r>
      <w:r w:rsidRPr="00806BB7">
        <w:rPr>
          <w:rFonts w:cs="Times New Roman"/>
          <w:bCs/>
          <w:iCs/>
          <w:szCs w:val="24"/>
        </w:rPr>
        <w:t xml:space="preserve"> and control</w:t>
      </w:r>
      <w:r w:rsidR="002E0EA8" w:rsidRPr="00806BB7">
        <w:rPr>
          <w:rFonts w:cs="Times New Roman"/>
          <w:bCs/>
          <w:iCs/>
          <w:szCs w:val="24"/>
        </w:rPr>
        <w:t xml:space="preserve"> groups</w:t>
      </w:r>
      <w:r w:rsidRPr="00806BB7">
        <w:rPr>
          <w:rFonts w:cs="Times New Roman"/>
          <w:bCs/>
          <w:iCs/>
          <w:szCs w:val="24"/>
        </w:rPr>
        <w:t xml:space="preserve"> on perceptual anchoring tasks.</w:t>
      </w:r>
      <w:r w:rsidR="00C8794C" w:rsidRPr="00806BB7">
        <w:rPr>
          <w:rFonts w:cs="Times New Roman"/>
          <w:bCs/>
          <w:iCs/>
          <w:szCs w:val="24"/>
        </w:rPr>
        <w:t xml:space="preserve"> One study </w:t>
      </w:r>
      <w:r w:rsidR="00C8794C" w:rsidRPr="00806BB7">
        <w:rPr>
          <w:rFonts w:cs="Times New Roman"/>
          <w:bCs/>
          <w:iCs/>
          <w:szCs w:val="24"/>
        </w:rPr>
        <w:fldChar w:fldCharType="begin"/>
      </w:r>
      <w:r w:rsidR="00095E48" w:rsidRPr="00806BB7">
        <w:rPr>
          <w:rFonts w:cs="Times New Roman"/>
          <w:bCs/>
          <w:iCs/>
          <w:szCs w:val="24"/>
        </w:rPr>
        <w:instrText xml:space="preserve"> ADDIN ZOTERO_ITEM CSL_CITATION {"citationID":"OU35IS44","properties":{"formattedCitation":"(Wijnen et al., 2012)","plainCitation":"(Wijnen et al., 2012)","noteIndex":0},"citationItems":[{"id":35,"uris":["http://zotero.org/users/6317667/items/RNLQW3DM"],"uri":["http://zotero.org/users/6317667/items/RNLQW3DM"],"itemData":{"id":35,"type":"article-journal","abstract":"A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00C8794C" w:rsidRPr="00806BB7">
        <w:rPr>
          <w:rFonts w:cs="Times New Roman"/>
          <w:bCs/>
          <w:iCs/>
          <w:szCs w:val="24"/>
        </w:rPr>
        <w:fldChar w:fldCharType="separate"/>
      </w:r>
      <w:r w:rsidR="00C8794C" w:rsidRPr="00806BB7">
        <w:rPr>
          <w:rFonts w:cs="Times New Roman"/>
          <w:szCs w:val="24"/>
        </w:rPr>
        <w:t>(Wijnen et al., 2012)</w:t>
      </w:r>
      <w:r w:rsidR="00C8794C" w:rsidRPr="00806BB7">
        <w:rPr>
          <w:rFonts w:cs="Times New Roman"/>
          <w:bCs/>
          <w:iCs/>
          <w:szCs w:val="24"/>
        </w:rPr>
        <w:fldChar w:fldCharType="end"/>
      </w:r>
      <w:r w:rsidRPr="00806BB7">
        <w:rPr>
          <w:rFonts w:cs="Times New Roman"/>
          <w:bCs/>
          <w:iCs/>
          <w:szCs w:val="24"/>
        </w:rPr>
        <w:t xml:space="preserve"> was excluded as authors did not report </w:t>
      </w:r>
      <w:r w:rsidR="00284884" w:rsidRPr="00806BB7">
        <w:rPr>
          <w:rFonts w:cs="Times New Roman"/>
          <w:bCs/>
          <w:iCs/>
          <w:szCs w:val="24"/>
        </w:rPr>
        <w:t xml:space="preserve">the </w:t>
      </w:r>
      <w:r w:rsidRPr="00806BB7">
        <w:rPr>
          <w:rFonts w:cs="Times New Roman"/>
          <w:bCs/>
          <w:iCs/>
          <w:szCs w:val="24"/>
        </w:rPr>
        <w:t>necessary data and did not respond to communication</w:t>
      </w:r>
      <w:r w:rsidR="00284884" w:rsidRPr="00806BB7">
        <w:rPr>
          <w:rFonts w:cs="Times New Roman"/>
          <w:bCs/>
          <w:iCs/>
          <w:szCs w:val="24"/>
        </w:rPr>
        <w:t>s</w:t>
      </w:r>
      <w:r w:rsidRPr="00806BB7">
        <w:rPr>
          <w:rFonts w:cs="Times New Roman"/>
          <w:bCs/>
          <w:iCs/>
          <w:szCs w:val="24"/>
        </w:rPr>
        <w:t xml:space="preserve">. </w:t>
      </w:r>
      <w:r w:rsidR="00F05736" w:rsidRPr="00806BB7">
        <w:rPr>
          <w:rFonts w:cs="Times New Roman"/>
          <w:bCs/>
          <w:iCs/>
          <w:szCs w:val="24"/>
        </w:rPr>
        <w:fldChar w:fldCharType="begin"/>
      </w:r>
      <w:r w:rsidR="00F05736" w:rsidRPr="00806BB7">
        <w:rPr>
          <w:rFonts w:cs="Times New Roman"/>
          <w:bCs/>
          <w:iCs/>
          <w:szCs w:val="24"/>
        </w:rPr>
        <w:instrText xml:space="preserve"> REF _Ref38980644 \h  \* MERGEFORMAT </w:instrText>
      </w:r>
      <w:r w:rsidR="00F05736" w:rsidRPr="00806BB7">
        <w:rPr>
          <w:rFonts w:cs="Times New Roman"/>
          <w:bCs/>
          <w:iCs/>
          <w:szCs w:val="24"/>
        </w:rPr>
      </w:r>
      <w:r w:rsidR="00F05736" w:rsidRPr="00806BB7">
        <w:rPr>
          <w:rFonts w:cs="Times New Roman"/>
          <w:bCs/>
          <w:iCs/>
          <w:szCs w:val="24"/>
        </w:rPr>
        <w:fldChar w:fldCharType="separate"/>
      </w:r>
      <w:r w:rsidR="001B18A4" w:rsidRPr="00806BB7">
        <w:rPr>
          <w:szCs w:val="24"/>
        </w:rPr>
        <w:t>Figure</w:t>
      </w:r>
      <w:r w:rsidR="001B18A4" w:rsidRPr="00806BB7">
        <w:rPr>
          <w:b/>
          <w:szCs w:val="24"/>
        </w:rPr>
        <w:t xml:space="preserve"> </w:t>
      </w:r>
      <w:r w:rsidR="001B18A4" w:rsidRPr="00806BB7">
        <w:rPr>
          <w:noProof/>
          <w:szCs w:val="24"/>
        </w:rPr>
        <w:t>2</w:t>
      </w:r>
      <w:r w:rsidR="00F05736" w:rsidRPr="00806BB7">
        <w:rPr>
          <w:rFonts w:cs="Times New Roman"/>
          <w:b/>
          <w:bCs/>
          <w:iCs/>
          <w:szCs w:val="24"/>
        </w:rPr>
        <w:fldChar w:fldCharType="end"/>
      </w:r>
      <w:r w:rsidR="00F05736" w:rsidRPr="00806BB7">
        <w:rPr>
          <w:rFonts w:cs="Times New Roman"/>
          <w:bCs/>
          <w:iCs/>
          <w:szCs w:val="24"/>
        </w:rPr>
        <w:t xml:space="preserve"> shows the effect sizes from five studies contrasting the standardised mean difference and 95% CIs</w:t>
      </w:r>
      <w:r w:rsidRPr="00806BB7">
        <w:rPr>
          <w:rFonts w:cs="Times New Roman"/>
          <w:bCs/>
          <w:iCs/>
          <w:szCs w:val="24"/>
        </w:rPr>
        <w:t xml:space="preserve"> between </w:t>
      </w:r>
      <w:r w:rsidR="004B39C8" w:rsidRPr="00806BB7">
        <w:rPr>
          <w:rFonts w:cs="Times New Roman"/>
          <w:bCs/>
          <w:iCs/>
          <w:szCs w:val="24"/>
        </w:rPr>
        <w:t>dyslexia</w:t>
      </w:r>
      <w:r w:rsidRPr="00806BB7">
        <w:rPr>
          <w:rFonts w:cs="Times New Roman"/>
          <w:bCs/>
          <w:iCs/>
          <w:szCs w:val="24"/>
        </w:rPr>
        <w:t xml:space="preserve"> and controls groups on measures of perceptual anchoring (</w:t>
      </w:r>
      <w:r w:rsidR="002E0EA8" w:rsidRPr="00806BB7">
        <w:rPr>
          <w:rFonts w:cs="Times New Roman"/>
          <w:bCs/>
          <w:iCs/>
          <w:szCs w:val="24"/>
        </w:rPr>
        <w:t>dyslexia</w:t>
      </w:r>
      <w:r w:rsidR="003E03DB" w:rsidRPr="00806BB7">
        <w:rPr>
          <w:rFonts w:cs="Times New Roman"/>
          <w:bCs/>
          <w:iCs/>
          <w:szCs w:val="24"/>
        </w:rPr>
        <w:t xml:space="preserve"> n</w:t>
      </w:r>
      <w:r w:rsidRPr="00806BB7">
        <w:rPr>
          <w:rFonts w:cs="Times New Roman"/>
          <w:bCs/>
          <w:iCs/>
          <w:szCs w:val="24"/>
        </w:rPr>
        <w:t xml:space="preserve"> = </w:t>
      </w:r>
      <w:r w:rsidR="0064513C" w:rsidRPr="00806BB7">
        <w:rPr>
          <w:rFonts w:cs="Times New Roman"/>
          <w:bCs/>
          <w:iCs/>
          <w:szCs w:val="24"/>
        </w:rPr>
        <w:t>134</w:t>
      </w:r>
      <w:r w:rsidRPr="00806BB7">
        <w:rPr>
          <w:rFonts w:cs="Times New Roman"/>
          <w:bCs/>
          <w:iCs/>
          <w:szCs w:val="24"/>
        </w:rPr>
        <w:t xml:space="preserve">, mean sample size = 26.8; </w:t>
      </w:r>
      <w:r w:rsidR="003E03DB" w:rsidRPr="00806BB7">
        <w:rPr>
          <w:rFonts w:cs="Times New Roman"/>
          <w:bCs/>
          <w:iCs/>
          <w:szCs w:val="24"/>
        </w:rPr>
        <w:t>control n</w:t>
      </w:r>
      <w:r w:rsidRPr="00806BB7">
        <w:rPr>
          <w:rFonts w:cs="Times New Roman"/>
          <w:bCs/>
          <w:iCs/>
          <w:szCs w:val="24"/>
        </w:rPr>
        <w:t xml:space="preserve"> = 146, mean sample size = 29.2). </w:t>
      </w:r>
    </w:p>
    <w:p w14:paraId="4035EE03" w14:textId="154320E3" w:rsidR="003F6B00" w:rsidRPr="00806BB7" w:rsidRDefault="00AB7345" w:rsidP="003F6B00">
      <w:pPr>
        <w:pStyle w:val="Figures"/>
        <w:keepNext/>
        <w:rPr>
          <w:szCs w:val="24"/>
        </w:rPr>
      </w:pPr>
      <w:r w:rsidRPr="00806BB7">
        <w:rPr>
          <w:szCs w:val="24"/>
        </w:rPr>
        <w:drawing>
          <wp:inline distT="0" distB="0" distL="0" distR="0" wp14:anchorId="268DD9DD" wp14:editId="23AFE558">
            <wp:extent cx="5731510" cy="20186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8266" b="21812"/>
                    <a:stretch/>
                  </pic:blipFill>
                  <pic:spPr bwMode="auto">
                    <a:xfrm>
                      <a:off x="0" y="0"/>
                      <a:ext cx="5731510" cy="2018665"/>
                    </a:xfrm>
                    <a:prstGeom prst="rect">
                      <a:avLst/>
                    </a:prstGeom>
                    <a:noFill/>
                    <a:ln>
                      <a:noFill/>
                    </a:ln>
                    <a:extLst>
                      <a:ext uri="{53640926-AAD7-44D8-BBD7-CCE9431645EC}">
                        <a14:shadowObscured xmlns:a14="http://schemas.microsoft.com/office/drawing/2010/main"/>
                      </a:ext>
                    </a:extLst>
                  </pic:spPr>
                </pic:pic>
              </a:graphicData>
            </a:graphic>
          </wp:inline>
        </w:drawing>
      </w:r>
    </w:p>
    <w:p w14:paraId="4FB8E1F7" w14:textId="38BE3C74" w:rsidR="008D02B2" w:rsidRPr="00806BB7" w:rsidRDefault="003F6B00" w:rsidP="003F6B00">
      <w:pPr>
        <w:pStyle w:val="Figures"/>
        <w:rPr>
          <w:szCs w:val="24"/>
        </w:rPr>
      </w:pPr>
      <w:bookmarkStart w:id="26" w:name="_Ref38980644"/>
      <w:r w:rsidRPr="00806BB7">
        <w:rPr>
          <w:b/>
          <w:szCs w:val="24"/>
        </w:rPr>
        <w:t xml:space="preserve">Figure </w:t>
      </w:r>
      <w:r w:rsidRPr="00806BB7">
        <w:rPr>
          <w:b/>
          <w:szCs w:val="24"/>
        </w:rPr>
        <w:fldChar w:fldCharType="begin"/>
      </w:r>
      <w:r w:rsidRPr="00806BB7">
        <w:rPr>
          <w:b/>
          <w:szCs w:val="24"/>
        </w:rPr>
        <w:instrText xml:space="preserve"> SEQ Figure \* ARABIC </w:instrText>
      </w:r>
      <w:r w:rsidRPr="00806BB7">
        <w:rPr>
          <w:b/>
          <w:szCs w:val="24"/>
        </w:rPr>
        <w:fldChar w:fldCharType="separate"/>
      </w:r>
      <w:r w:rsidR="00C74CF4" w:rsidRPr="00806BB7">
        <w:rPr>
          <w:b/>
          <w:szCs w:val="24"/>
        </w:rPr>
        <w:t>2</w:t>
      </w:r>
      <w:r w:rsidRPr="00806BB7">
        <w:rPr>
          <w:b/>
          <w:szCs w:val="24"/>
        </w:rPr>
        <w:fldChar w:fldCharType="end"/>
      </w:r>
      <w:bookmarkEnd w:id="26"/>
      <w:r w:rsidRPr="00806BB7">
        <w:rPr>
          <w:szCs w:val="24"/>
        </w:rPr>
        <w:t xml:space="preserve"> </w:t>
      </w:r>
      <w:r w:rsidRPr="00806BB7">
        <w:rPr>
          <w:i/>
          <w:szCs w:val="24"/>
        </w:rPr>
        <w:t>F</w:t>
      </w:r>
      <w:r w:rsidR="00B73181" w:rsidRPr="00806BB7">
        <w:rPr>
          <w:i/>
          <w:szCs w:val="24"/>
        </w:rPr>
        <w:t>orest</w:t>
      </w:r>
      <w:r w:rsidRPr="00806BB7">
        <w:rPr>
          <w:i/>
          <w:szCs w:val="24"/>
        </w:rPr>
        <w:t xml:space="preserve"> plot showing included studies of </w:t>
      </w:r>
      <w:r w:rsidR="00284884" w:rsidRPr="00806BB7">
        <w:rPr>
          <w:i/>
          <w:szCs w:val="24"/>
        </w:rPr>
        <w:t xml:space="preserve">the </w:t>
      </w:r>
      <w:r w:rsidRPr="00806BB7">
        <w:rPr>
          <w:i/>
          <w:szCs w:val="24"/>
        </w:rPr>
        <w:t>meta</w:t>
      </w:r>
      <w:r w:rsidR="00AC0FF1" w:rsidRPr="00806BB7">
        <w:rPr>
          <w:i/>
          <w:szCs w:val="24"/>
        </w:rPr>
        <w:t>-</w:t>
      </w:r>
      <w:r w:rsidRPr="00806BB7">
        <w:rPr>
          <w:i/>
          <w:szCs w:val="24"/>
        </w:rPr>
        <w:t>analysis and sample sizes</w:t>
      </w:r>
      <w:r w:rsidR="00130218" w:rsidRPr="00806BB7">
        <w:rPr>
          <w:i/>
          <w:szCs w:val="24"/>
        </w:rPr>
        <w:t xml:space="preserve"> per group and study</w:t>
      </w:r>
      <w:r w:rsidRPr="00806BB7">
        <w:rPr>
          <w:i/>
          <w:szCs w:val="24"/>
        </w:rPr>
        <w:t>.</w:t>
      </w:r>
    </w:p>
    <w:p w14:paraId="7C168ECE" w14:textId="4DEDCAC5" w:rsidR="00AC31D4" w:rsidRPr="00806BB7" w:rsidRDefault="00884B52" w:rsidP="00884B52">
      <w:pPr>
        <w:rPr>
          <w:rFonts w:cs="Times New Roman"/>
          <w:bCs/>
          <w:iCs/>
          <w:szCs w:val="24"/>
        </w:rPr>
      </w:pPr>
      <w:r w:rsidRPr="00806BB7">
        <w:rPr>
          <w:rFonts w:cs="Times New Roman"/>
          <w:bCs/>
          <w:iCs/>
          <w:szCs w:val="24"/>
        </w:rPr>
        <w:t xml:space="preserve">The overall effect was </w:t>
      </w:r>
      <w:r w:rsidR="00556086" w:rsidRPr="00806BB7">
        <w:rPr>
          <w:rFonts w:cs="Times New Roman"/>
          <w:bCs/>
          <w:iCs/>
          <w:szCs w:val="24"/>
        </w:rPr>
        <w:t>negative</w:t>
      </w:r>
      <w:r w:rsidRPr="00806BB7">
        <w:rPr>
          <w:rFonts w:cs="Times New Roman"/>
          <w:bCs/>
          <w:iCs/>
          <w:szCs w:val="24"/>
        </w:rPr>
        <w:t xml:space="preserve">, </w:t>
      </w:r>
      <w:r w:rsidR="0082663B" w:rsidRPr="00806BB7">
        <w:rPr>
          <w:rFonts w:cs="Times New Roman"/>
          <w:bCs/>
          <w:iCs/>
          <w:szCs w:val="24"/>
        </w:rPr>
        <w:t xml:space="preserve">large </w:t>
      </w:r>
      <w:r w:rsidRPr="00806BB7">
        <w:rPr>
          <w:rFonts w:cs="Times New Roman"/>
          <w:bCs/>
          <w:iCs/>
          <w:szCs w:val="24"/>
        </w:rPr>
        <w:t>and sta</w:t>
      </w:r>
      <w:r w:rsidR="0064513C" w:rsidRPr="00806BB7">
        <w:rPr>
          <w:rFonts w:cs="Times New Roman"/>
          <w:bCs/>
          <w:iCs/>
          <w:szCs w:val="24"/>
        </w:rPr>
        <w:t xml:space="preserve">tistically significant; g = </w:t>
      </w:r>
      <w:r w:rsidR="00F41E63">
        <w:rPr>
          <w:rFonts w:cs="Times New Roman"/>
          <w:bCs/>
          <w:iCs/>
          <w:szCs w:val="24"/>
        </w:rPr>
        <w:t>-</w:t>
      </w:r>
      <w:r w:rsidR="0064513C" w:rsidRPr="00806BB7">
        <w:rPr>
          <w:rFonts w:cs="Times New Roman"/>
          <w:bCs/>
          <w:iCs/>
          <w:szCs w:val="24"/>
        </w:rPr>
        <w:t>0.87, 95% CI [</w:t>
      </w:r>
      <w:r w:rsidR="00FD2EF0" w:rsidRPr="00806BB7">
        <w:rPr>
          <w:rFonts w:cs="Times New Roman"/>
          <w:bCs/>
          <w:iCs/>
          <w:szCs w:val="24"/>
        </w:rPr>
        <w:t>-1.47, -</w:t>
      </w:r>
      <w:r w:rsidR="0064513C" w:rsidRPr="00806BB7">
        <w:rPr>
          <w:rFonts w:cs="Times New Roman"/>
          <w:bCs/>
          <w:iCs/>
          <w:szCs w:val="24"/>
        </w:rPr>
        <w:t>0.27</w:t>
      </w:r>
      <w:r w:rsidR="003F6B00" w:rsidRPr="00806BB7">
        <w:rPr>
          <w:rFonts w:cs="Times New Roman"/>
          <w:bCs/>
          <w:iCs/>
          <w:szCs w:val="24"/>
        </w:rPr>
        <w:t>]</w:t>
      </w:r>
      <w:r w:rsidRPr="00806BB7">
        <w:rPr>
          <w:rFonts w:cs="Times New Roman"/>
          <w:bCs/>
          <w:iCs/>
          <w:szCs w:val="24"/>
        </w:rPr>
        <w:t>, p &lt; 0.05. A test of heterogeneity suggests that the effect sizes</w:t>
      </w:r>
      <w:r w:rsidR="0064513C" w:rsidRPr="00806BB7">
        <w:rPr>
          <w:rFonts w:cs="Times New Roman"/>
          <w:bCs/>
          <w:iCs/>
          <w:szCs w:val="24"/>
        </w:rPr>
        <w:t xml:space="preserve"> significantly</w:t>
      </w:r>
      <w:r w:rsidRPr="00806BB7">
        <w:rPr>
          <w:rFonts w:cs="Times New Roman"/>
          <w:bCs/>
          <w:iCs/>
          <w:szCs w:val="24"/>
        </w:rPr>
        <w:t xml:space="preserve"> </w:t>
      </w:r>
      <w:r w:rsidR="0064513C" w:rsidRPr="00806BB7">
        <w:rPr>
          <w:rFonts w:cs="Times New Roman"/>
          <w:bCs/>
          <w:iCs/>
          <w:szCs w:val="24"/>
        </w:rPr>
        <w:t>varied across studies</w:t>
      </w:r>
      <w:r w:rsidR="000238CE" w:rsidRPr="00806BB7">
        <w:rPr>
          <w:rFonts w:cs="Times New Roman"/>
          <w:bCs/>
          <w:iCs/>
          <w:szCs w:val="24"/>
        </w:rPr>
        <w:t>;</w:t>
      </w:r>
      <w:r w:rsidR="0064513C" w:rsidRPr="00806BB7">
        <w:rPr>
          <w:rFonts w:cs="Times New Roman"/>
          <w:bCs/>
          <w:iCs/>
          <w:szCs w:val="24"/>
        </w:rPr>
        <w:t xml:space="preserve"> Q (4) = 9.70</w:t>
      </w:r>
      <w:r w:rsidRPr="00806BB7">
        <w:rPr>
          <w:rFonts w:cs="Times New Roman"/>
          <w:bCs/>
          <w:iCs/>
          <w:szCs w:val="24"/>
        </w:rPr>
        <w:t xml:space="preserve">, </w:t>
      </w:r>
      <w:r w:rsidR="0064513C" w:rsidRPr="00806BB7">
        <w:rPr>
          <w:rFonts w:cs="Times New Roman"/>
          <w:bCs/>
          <w:iCs/>
          <w:szCs w:val="24"/>
        </w:rPr>
        <w:t>PI [-</w:t>
      </w:r>
      <w:r w:rsidR="00556086" w:rsidRPr="00806BB7">
        <w:rPr>
          <w:rFonts w:cs="Times New Roman"/>
          <w:bCs/>
          <w:iCs/>
          <w:szCs w:val="24"/>
        </w:rPr>
        <w:t xml:space="preserve">2.32, </w:t>
      </w:r>
      <w:r w:rsidR="0064513C" w:rsidRPr="00806BB7">
        <w:rPr>
          <w:rFonts w:cs="Times New Roman"/>
          <w:bCs/>
          <w:iCs/>
          <w:szCs w:val="24"/>
        </w:rPr>
        <w:t>0.58</w:t>
      </w:r>
      <w:r w:rsidR="00556086" w:rsidRPr="00806BB7">
        <w:rPr>
          <w:rFonts w:cs="Times New Roman"/>
          <w:bCs/>
          <w:iCs/>
          <w:szCs w:val="24"/>
        </w:rPr>
        <w:t>]</w:t>
      </w:r>
      <w:r w:rsidR="00D77C4E" w:rsidRPr="00806BB7">
        <w:rPr>
          <w:rFonts w:cs="Times New Roman"/>
          <w:bCs/>
          <w:iCs/>
          <w:szCs w:val="24"/>
        </w:rPr>
        <w:t xml:space="preserve">, </w:t>
      </w:r>
      <w:r w:rsidR="0064513C" w:rsidRPr="00806BB7">
        <w:rPr>
          <w:rFonts w:cs="Times New Roman"/>
          <w:bCs/>
          <w:iCs/>
          <w:szCs w:val="24"/>
        </w:rPr>
        <w:t>p &lt; 0.05</w:t>
      </w:r>
      <w:r w:rsidRPr="00806BB7">
        <w:rPr>
          <w:rFonts w:cs="Times New Roman"/>
          <w:bCs/>
          <w:iCs/>
          <w:szCs w:val="24"/>
        </w:rPr>
        <w:t>. We q</w:t>
      </w:r>
      <w:r w:rsidR="00CD0BEA" w:rsidRPr="00806BB7">
        <w:rPr>
          <w:rFonts w:cs="Times New Roman"/>
          <w:bCs/>
          <w:iCs/>
          <w:szCs w:val="24"/>
        </w:rPr>
        <w:t>uantified this variation using</w:t>
      </w:r>
      <w:r w:rsidR="000238CE" w:rsidRPr="00806BB7">
        <w:rPr>
          <w:rFonts w:cs="Times New Roman"/>
          <w:bCs/>
          <w:iCs/>
          <w:szCs w:val="24"/>
        </w:rPr>
        <w:t>;</w:t>
      </w:r>
      <w:r w:rsidR="0064513C" w:rsidRPr="00806BB7">
        <w:rPr>
          <w:rFonts w:cs="Times New Roman"/>
          <w:bCs/>
          <w:iCs/>
          <w:szCs w:val="24"/>
        </w:rPr>
        <w:t xml:space="preserve"> Tau = 0.40</w:t>
      </w:r>
      <w:r w:rsidRPr="00806BB7">
        <w:rPr>
          <w:rFonts w:cs="Times New Roman"/>
          <w:bCs/>
          <w:iCs/>
          <w:szCs w:val="24"/>
        </w:rPr>
        <w:t>, Tau</w:t>
      </w:r>
      <w:r w:rsidRPr="00806BB7">
        <w:rPr>
          <w:rFonts w:cs="Times New Roman"/>
          <w:bCs/>
          <w:iCs/>
          <w:szCs w:val="24"/>
          <w:vertAlign w:val="superscript"/>
        </w:rPr>
        <w:t>2</w:t>
      </w:r>
      <w:r w:rsidR="0064513C" w:rsidRPr="00806BB7">
        <w:rPr>
          <w:rFonts w:cs="Times New Roman"/>
          <w:bCs/>
          <w:iCs/>
          <w:szCs w:val="24"/>
        </w:rPr>
        <w:t xml:space="preserve"> = 0.16</w:t>
      </w:r>
      <w:r w:rsidR="00D3236E" w:rsidRPr="00806BB7">
        <w:rPr>
          <w:rFonts w:cs="Times New Roman"/>
          <w:bCs/>
          <w:iCs/>
          <w:szCs w:val="24"/>
        </w:rPr>
        <w:t xml:space="preserve"> and</w:t>
      </w:r>
      <w:r w:rsidRPr="00806BB7">
        <w:rPr>
          <w:rFonts w:cs="Times New Roman"/>
          <w:bCs/>
          <w:iCs/>
          <w:szCs w:val="24"/>
        </w:rPr>
        <w:t xml:space="preserve"> I</w:t>
      </w:r>
      <w:r w:rsidRPr="00806BB7">
        <w:rPr>
          <w:rFonts w:cs="Times New Roman"/>
          <w:bCs/>
          <w:iCs/>
          <w:szCs w:val="24"/>
          <w:vertAlign w:val="superscript"/>
        </w:rPr>
        <w:t>2</w:t>
      </w:r>
      <w:r w:rsidR="0064513C" w:rsidRPr="00806BB7">
        <w:rPr>
          <w:rFonts w:cs="Times New Roman"/>
          <w:bCs/>
          <w:iCs/>
          <w:szCs w:val="24"/>
        </w:rPr>
        <w:t xml:space="preserve"> = 59</w:t>
      </w:r>
      <w:r w:rsidRPr="00806BB7">
        <w:rPr>
          <w:rFonts w:cs="Times New Roman"/>
          <w:bCs/>
          <w:iCs/>
          <w:szCs w:val="24"/>
        </w:rPr>
        <w:t xml:space="preserve">%. </w:t>
      </w:r>
      <w:r w:rsidR="00E018D3" w:rsidRPr="00806BB7">
        <w:rPr>
          <w:rFonts w:cs="Times New Roman"/>
          <w:bCs/>
          <w:iCs/>
          <w:szCs w:val="24"/>
        </w:rPr>
        <w:t>We interpret the prediction interval as where we would expect true effect size</w:t>
      </w:r>
      <w:r w:rsidR="00AC0FF1" w:rsidRPr="00806BB7">
        <w:rPr>
          <w:rFonts w:cs="Times New Roman"/>
          <w:bCs/>
          <w:iCs/>
          <w:szCs w:val="24"/>
        </w:rPr>
        <w:t xml:space="preserve"> </w:t>
      </w:r>
      <w:r w:rsidR="00E018D3" w:rsidRPr="00806BB7">
        <w:rPr>
          <w:rFonts w:cs="Times New Roman"/>
          <w:bCs/>
          <w:iCs/>
          <w:szCs w:val="24"/>
        </w:rPr>
        <w:t>to fall in 95% of future cases</w:t>
      </w:r>
      <w:r w:rsidR="0090215B" w:rsidRPr="00806BB7">
        <w:rPr>
          <w:rFonts w:cs="Times New Roman"/>
          <w:bCs/>
          <w:iCs/>
          <w:szCs w:val="24"/>
        </w:rPr>
        <w:t xml:space="preserve"> </w:t>
      </w:r>
      <w:r w:rsidR="0090215B" w:rsidRPr="00806BB7">
        <w:rPr>
          <w:rFonts w:cs="Times New Roman"/>
          <w:bCs/>
          <w:iCs/>
          <w:szCs w:val="24"/>
        </w:rPr>
        <w:fldChar w:fldCharType="begin"/>
      </w:r>
      <w:r w:rsidR="0090215B" w:rsidRPr="00806BB7">
        <w:rPr>
          <w:rFonts w:cs="Times New Roman"/>
          <w:bCs/>
          <w:iCs/>
          <w:szCs w:val="24"/>
        </w:rPr>
        <w:instrText xml:space="preserve"> ADDIN ZOTERO_ITEM CSL_CITATION {"citationID":"8PtB4Mwz","properties":{"formattedCitation":"(Michael Borenstein et al., 2017)","plainCitation":"(Michael Borenstein et al., 2017)","dontUpdate":true,"noteIndex":0},"citationItems":[{"id":20,"uris":["http://zotero.org/users/6317667/items/KY6JWMIY"],"uri":["http://zotero.org/users/6317667/items/KY6JWMIY"],"itemData":{"id":20,"type":"article-journal","abstract":"When we speak about heterogeneity in a meta-analysis, our intent is usually to understand the substantive implications of the heterogeneity. If an intervention yields a mean effect size of 50 points, we want to know if the effect size in different populations varies from 40 to 60, or from 10 to 90, because this speaks to the potential utility of the intervention. While there is a common belief that the I2 statistic provides this information, it actually does not. In this example, if we are told that I2 is 50%, we have no way of knowing if the effects range from 40 to 60, or from 10 to 90, or across some other range. Rather, if we want to communicate the predicted range of effects, then we should simply report this range. This gives readers the information they think is being captured by I2 and does so in a way that is concise and unambiguous. Copyright © 2017 John Wiley &amp; Sons, Ltd.","container-title":"Research Synthesis Methods","DOI":"10.1002/jrsm.1230","ISSN":"1759-2887","issue":"1","language":"en","page":"5-18","source":"Wiley Online Library","title":"Basics of meta-analysis: I2 is not an absolute measure of heterogeneity","title-short":"Basics of meta-analysis","volume":"8","author":[{"family":"Borenstein","given":"Michael"},{"family":"Higgins","given":"Julian P. T."},{"family":"Hedges","given":"Larry V."},{"family":"Rothstein","given":"Hannah R."}],"issued":{"date-parts":[["2017"]]}}}],"schema":"https://github.com/citation-style-language/schema/raw/master/csl-citation.json"} </w:instrText>
      </w:r>
      <w:r w:rsidR="0090215B" w:rsidRPr="00806BB7">
        <w:rPr>
          <w:rFonts w:cs="Times New Roman"/>
          <w:bCs/>
          <w:iCs/>
          <w:szCs w:val="24"/>
        </w:rPr>
        <w:fldChar w:fldCharType="separate"/>
      </w:r>
      <w:r w:rsidR="0090215B" w:rsidRPr="00806BB7">
        <w:rPr>
          <w:rFonts w:cs="Times New Roman"/>
          <w:szCs w:val="24"/>
        </w:rPr>
        <w:t>(Borenstein et al., 2017)</w:t>
      </w:r>
      <w:r w:rsidR="0090215B" w:rsidRPr="00806BB7">
        <w:rPr>
          <w:rFonts w:cs="Times New Roman"/>
          <w:bCs/>
          <w:iCs/>
          <w:szCs w:val="24"/>
        </w:rPr>
        <w:fldChar w:fldCharType="end"/>
      </w:r>
      <w:r w:rsidR="004D2116" w:rsidRPr="00806BB7">
        <w:rPr>
          <w:rFonts w:cs="Times New Roman"/>
          <w:bCs/>
          <w:iCs/>
          <w:szCs w:val="24"/>
        </w:rPr>
        <w:t xml:space="preserve">. </w:t>
      </w:r>
      <w:r w:rsidRPr="00806BB7">
        <w:rPr>
          <w:rFonts w:cs="Times New Roman"/>
          <w:bCs/>
          <w:iCs/>
          <w:szCs w:val="24"/>
        </w:rPr>
        <w:t>Likelihood of bias across studies was inspected visually through a random-effects funnel plot (</w:t>
      </w:r>
      <w:r w:rsidR="00A9465C" w:rsidRPr="00806BB7">
        <w:rPr>
          <w:rFonts w:cs="Times New Roman"/>
          <w:bCs/>
          <w:iCs/>
          <w:szCs w:val="24"/>
        </w:rPr>
        <w:t xml:space="preserve">see </w:t>
      </w:r>
      <w:r w:rsidR="007F7FC7" w:rsidRPr="00806BB7">
        <w:rPr>
          <w:rFonts w:cs="Times New Roman"/>
          <w:bCs/>
          <w:iCs/>
          <w:szCs w:val="24"/>
          <w:highlight w:val="yellow"/>
        </w:rPr>
        <w:fldChar w:fldCharType="begin"/>
      </w:r>
      <w:r w:rsidR="007F7FC7" w:rsidRPr="00806BB7">
        <w:rPr>
          <w:rFonts w:cs="Times New Roman"/>
          <w:bCs/>
          <w:iCs/>
          <w:szCs w:val="24"/>
          <w:highlight w:val="yellow"/>
        </w:rPr>
        <w:instrText xml:space="preserve"> REF _Ref39042461 \h  \* MERGEFORMAT </w:instrText>
      </w:r>
      <w:r w:rsidR="007F7FC7" w:rsidRPr="00806BB7">
        <w:rPr>
          <w:rFonts w:cs="Times New Roman"/>
          <w:bCs/>
          <w:iCs/>
          <w:szCs w:val="24"/>
          <w:highlight w:val="yellow"/>
        </w:rPr>
      </w:r>
      <w:r w:rsidR="007F7FC7" w:rsidRPr="00806BB7">
        <w:rPr>
          <w:rFonts w:cs="Times New Roman"/>
          <w:bCs/>
          <w:iCs/>
          <w:szCs w:val="24"/>
          <w:highlight w:val="yellow"/>
        </w:rPr>
        <w:fldChar w:fldCharType="separate"/>
      </w:r>
      <w:r w:rsidR="001B18A4" w:rsidRPr="00806BB7">
        <w:rPr>
          <w:szCs w:val="24"/>
        </w:rPr>
        <w:t xml:space="preserve">Figure </w:t>
      </w:r>
      <w:r w:rsidR="001B18A4" w:rsidRPr="00806BB7">
        <w:rPr>
          <w:noProof/>
          <w:szCs w:val="24"/>
        </w:rPr>
        <w:t>3</w:t>
      </w:r>
      <w:r w:rsidR="007F7FC7" w:rsidRPr="00806BB7">
        <w:rPr>
          <w:rFonts w:cs="Times New Roman"/>
          <w:bCs/>
          <w:iCs/>
          <w:szCs w:val="24"/>
          <w:highlight w:val="yellow"/>
        </w:rPr>
        <w:fldChar w:fldCharType="end"/>
      </w:r>
      <w:r w:rsidRPr="00806BB7">
        <w:rPr>
          <w:rFonts w:cs="Times New Roman"/>
          <w:bCs/>
          <w:iCs/>
          <w:szCs w:val="24"/>
        </w:rPr>
        <w:t>). The standardised mean difference</w:t>
      </w:r>
      <w:r w:rsidR="0064513C" w:rsidRPr="00806BB7">
        <w:rPr>
          <w:rFonts w:cs="Times New Roman"/>
          <w:bCs/>
          <w:iCs/>
          <w:szCs w:val="24"/>
        </w:rPr>
        <w:t xml:space="preserve"> (Hedge’s g)</w:t>
      </w:r>
      <w:r w:rsidRPr="00806BB7">
        <w:rPr>
          <w:rFonts w:cs="Times New Roman"/>
          <w:bCs/>
          <w:iCs/>
          <w:szCs w:val="24"/>
        </w:rPr>
        <w:t xml:space="preserve"> is plotted on the x-axis and the standard error </w:t>
      </w:r>
      <w:r w:rsidR="00A9465C" w:rsidRPr="00806BB7">
        <w:rPr>
          <w:rFonts w:cs="Times New Roman"/>
          <w:bCs/>
          <w:iCs/>
          <w:szCs w:val="24"/>
        </w:rPr>
        <w:t xml:space="preserve">plotted on the y-axis. </w:t>
      </w:r>
      <w:r w:rsidRPr="00806BB7">
        <w:rPr>
          <w:rFonts w:cs="Times New Roman"/>
          <w:bCs/>
          <w:iCs/>
          <w:szCs w:val="24"/>
        </w:rPr>
        <w:t xml:space="preserve">The funnel plot appeared </w:t>
      </w:r>
      <w:r w:rsidR="0064513C" w:rsidRPr="00806BB7">
        <w:rPr>
          <w:rFonts w:cs="Times New Roman"/>
          <w:bCs/>
          <w:iCs/>
          <w:szCs w:val="24"/>
        </w:rPr>
        <w:t>symmetrical</w:t>
      </w:r>
      <w:r w:rsidRPr="00806BB7">
        <w:rPr>
          <w:rFonts w:cs="Times New Roman"/>
          <w:bCs/>
          <w:iCs/>
          <w:szCs w:val="24"/>
        </w:rPr>
        <w:t xml:space="preserve">, and evaluation of Egger’s test </w:t>
      </w:r>
      <w:r w:rsidR="00AB3875" w:rsidRPr="00806BB7">
        <w:rPr>
          <w:rFonts w:cs="Times New Roman"/>
          <w:bCs/>
          <w:iCs/>
          <w:szCs w:val="24"/>
        </w:rPr>
        <w:t>suggested</w:t>
      </w:r>
      <w:r w:rsidR="00A9465C" w:rsidRPr="00806BB7">
        <w:rPr>
          <w:rFonts w:cs="Times New Roman"/>
          <w:bCs/>
          <w:iCs/>
          <w:szCs w:val="24"/>
        </w:rPr>
        <w:t xml:space="preserve"> </w:t>
      </w:r>
      <w:r w:rsidR="004D1240" w:rsidRPr="00806BB7">
        <w:rPr>
          <w:rFonts w:cs="Times New Roman"/>
          <w:bCs/>
          <w:iCs/>
          <w:szCs w:val="24"/>
        </w:rPr>
        <w:t>minimal</w:t>
      </w:r>
      <w:r w:rsidR="00A9465C" w:rsidRPr="00806BB7">
        <w:rPr>
          <w:rFonts w:cs="Times New Roman"/>
          <w:bCs/>
          <w:iCs/>
          <w:szCs w:val="24"/>
        </w:rPr>
        <w:t xml:space="preserve"> bias</w:t>
      </w:r>
      <w:r w:rsidR="000238CE" w:rsidRPr="00806BB7">
        <w:rPr>
          <w:rFonts w:cs="Times New Roman"/>
          <w:bCs/>
          <w:iCs/>
          <w:szCs w:val="24"/>
        </w:rPr>
        <w:t>;</w:t>
      </w:r>
      <w:r w:rsidR="005E07B6" w:rsidRPr="00806BB7">
        <w:rPr>
          <w:rFonts w:cs="Times New Roman"/>
          <w:bCs/>
          <w:iCs/>
          <w:szCs w:val="24"/>
        </w:rPr>
        <w:t xml:space="preserve"> intercept = </w:t>
      </w:r>
      <w:r w:rsidR="00750303" w:rsidRPr="00806BB7">
        <w:rPr>
          <w:rFonts w:cs="Times New Roman"/>
          <w:bCs/>
          <w:iCs/>
          <w:szCs w:val="24"/>
        </w:rPr>
        <w:t>-</w:t>
      </w:r>
      <w:r w:rsidR="005E07B6" w:rsidRPr="00806BB7">
        <w:rPr>
          <w:rFonts w:cs="Times New Roman"/>
          <w:bCs/>
          <w:iCs/>
          <w:szCs w:val="24"/>
        </w:rPr>
        <w:t>2.76,</w:t>
      </w:r>
      <w:r w:rsidR="00AC31D4" w:rsidRPr="00806BB7">
        <w:rPr>
          <w:rFonts w:cs="Times New Roman"/>
          <w:bCs/>
          <w:iCs/>
          <w:szCs w:val="24"/>
        </w:rPr>
        <w:t xml:space="preserve"> t</w:t>
      </w:r>
      <w:r w:rsidRPr="00806BB7">
        <w:rPr>
          <w:rFonts w:cs="Times New Roman"/>
          <w:bCs/>
          <w:iCs/>
          <w:szCs w:val="24"/>
        </w:rPr>
        <w:t>(3)</w:t>
      </w:r>
      <w:r w:rsidR="0064513C" w:rsidRPr="00806BB7">
        <w:rPr>
          <w:rFonts w:cs="Times New Roman"/>
          <w:bCs/>
          <w:iCs/>
          <w:szCs w:val="24"/>
        </w:rPr>
        <w:t xml:space="preserve"> = </w:t>
      </w:r>
      <w:r w:rsidR="00750303" w:rsidRPr="00806BB7">
        <w:rPr>
          <w:rFonts w:cs="Times New Roman"/>
          <w:bCs/>
          <w:iCs/>
          <w:szCs w:val="24"/>
        </w:rPr>
        <w:t>-</w:t>
      </w:r>
      <w:r w:rsidR="0064513C" w:rsidRPr="00806BB7">
        <w:rPr>
          <w:rFonts w:cs="Times New Roman"/>
          <w:bCs/>
          <w:iCs/>
          <w:szCs w:val="24"/>
        </w:rPr>
        <w:t>0.84</w:t>
      </w:r>
      <w:r w:rsidRPr="00806BB7">
        <w:rPr>
          <w:rFonts w:cs="Times New Roman"/>
          <w:bCs/>
          <w:iCs/>
          <w:szCs w:val="24"/>
        </w:rPr>
        <w:t xml:space="preserve">, </w:t>
      </w:r>
      <w:r w:rsidR="0064513C" w:rsidRPr="00806BB7">
        <w:rPr>
          <w:rFonts w:cs="Times New Roman"/>
          <w:bCs/>
          <w:iCs/>
          <w:szCs w:val="24"/>
        </w:rPr>
        <w:t>p = 0.47</w:t>
      </w:r>
      <w:r w:rsidRPr="00806BB7">
        <w:rPr>
          <w:rFonts w:cs="Times New Roman"/>
          <w:bCs/>
          <w:iCs/>
          <w:szCs w:val="24"/>
        </w:rPr>
        <w:t>, 95% CI</w:t>
      </w:r>
      <w:r w:rsidR="0064513C" w:rsidRPr="00806BB7">
        <w:rPr>
          <w:rFonts w:cs="Times New Roman"/>
          <w:bCs/>
          <w:iCs/>
          <w:szCs w:val="24"/>
        </w:rPr>
        <w:t xml:space="preserve"> [</w:t>
      </w:r>
      <w:r w:rsidR="00750303" w:rsidRPr="00806BB7">
        <w:rPr>
          <w:rFonts w:cs="Times New Roman"/>
          <w:bCs/>
          <w:iCs/>
          <w:szCs w:val="24"/>
        </w:rPr>
        <w:t>-9.23,</w:t>
      </w:r>
      <w:r w:rsidR="0064513C" w:rsidRPr="00806BB7">
        <w:rPr>
          <w:rFonts w:cs="Times New Roman"/>
          <w:bCs/>
          <w:iCs/>
          <w:szCs w:val="24"/>
        </w:rPr>
        <w:t>3.70</w:t>
      </w:r>
      <w:r w:rsidRPr="00806BB7">
        <w:rPr>
          <w:rFonts w:cs="Times New Roman"/>
          <w:bCs/>
          <w:iCs/>
          <w:szCs w:val="24"/>
        </w:rPr>
        <w:t xml:space="preserve">]. </w:t>
      </w:r>
    </w:p>
    <w:p w14:paraId="08A5B939" w14:textId="40F5B1F0" w:rsidR="00AC31D4" w:rsidRPr="00806BB7" w:rsidRDefault="00B2351B" w:rsidP="00806BB7">
      <w:pPr>
        <w:pStyle w:val="Figures"/>
        <w:keepNext/>
        <w:rPr>
          <w:i/>
          <w:szCs w:val="24"/>
        </w:rPr>
      </w:pPr>
      <w:r w:rsidRPr="00806BB7">
        <w:rPr>
          <w:szCs w:val="24"/>
        </w:rPr>
        <w:lastRenderedPageBreak/>
        <w:drawing>
          <wp:inline distT="0" distB="0" distL="0" distR="0" wp14:anchorId="7C165075" wp14:editId="3B939C92">
            <wp:extent cx="5731510" cy="35337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64" b="2245"/>
                    <a:stretch/>
                  </pic:blipFill>
                  <pic:spPr bwMode="auto">
                    <a:xfrm>
                      <a:off x="0" y="0"/>
                      <a:ext cx="5731510" cy="3533775"/>
                    </a:xfrm>
                    <a:prstGeom prst="rect">
                      <a:avLst/>
                    </a:prstGeom>
                    <a:noFill/>
                    <a:ln>
                      <a:noFill/>
                    </a:ln>
                    <a:extLst>
                      <a:ext uri="{53640926-AAD7-44D8-BBD7-CCE9431645EC}">
                        <a14:shadowObscured xmlns:a14="http://schemas.microsoft.com/office/drawing/2010/main"/>
                      </a:ext>
                    </a:extLst>
                  </pic:spPr>
                </pic:pic>
              </a:graphicData>
            </a:graphic>
          </wp:inline>
        </w:drawing>
      </w:r>
      <w:bookmarkStart w:id="27" w:name="_Ref39042461"/>
      <w:r w:rsidR="00AC31D4" w:rsidRPr="00806BB7">
        <w:rPr>
          <w:b/>
          <w:szCs w:val="24"/>
        </w:rPr>
        <w:t xml:space="preserve">Figure </w:t>
      </w:r>
      <w:r w:rsidR="00AC31D4" w:rsidRPr="00806BB7">
        <w:rPr>
          <w:b/>
          <w:szCs w:val="24"/>
        </w:rPr>
        <w:fldChar w:fldCharType="begin"/>
      </w:r>
      <w:r w:rsidR="00AC31D4" w:rsidRPr="00806BB7">
        <w:rPr>
          <w:b/>
          <w:szCs w:val="24"/>
        </w:rPr>
        <w:instrText xml:space="preserve"> SEQ Figure \* ARABIC </w:instrText>
      </w:r>
      <w:r w:rsidR="00AC31D4" w:rsidRPr="00806BB7">
        <w:rPr>
          <w:b/>
          <w:szCs w:val="24"/>
        </w:rPr>
        <w:fldChar w:fldCharType="separate"/>
      </w:r>
      <w:r w:rsidR="00C74CF4" w:rsidRPr="00806BB7">
        <w:rPr>
          <w:b/>
          <w:szCs w:val="24"/>
        </w:rPr>
        <w:t>3</w:t>
      </w:r>
      <w:r w:rsidR="00AC31D4" w:rsidRPr="00806BB7">
        <w:rPr>
          <w:b/>
          <w:szCs w:val="24"/>
        </w:rPr>
        <w:fldChar w:fldCharType="end"/>
      </w:r>
      <w:bookmarkEnd w:id="27"/>
      <w:r w:rsidR="00AC31D4" w:rsidRPr="00806BB7">
        <w:rPr>
          <w:b/>
          <w:szCs w:val="24"/>
        </w:rPr>
        <w:t xml:space="preserve"> </w:t>
      </w:r>
      <w:r w:rsidR="007F7FC7" w:rsidRPr="00806BB7">
        <w:rPr>
          <w:i/>
          <w:szCs w:val="24"/>
        </w:rPr>
        <w:t>Funnel plo</w:t>
      </w:r>
      <w:r w:rsidR="00EA38F9">
        <w:rPr>
          <w:i/>
          <w:szCs w:val="24"/>
        </w:rPr>
        <w:t xml:space="preserve">t </w:t>
      </w:r>
      <w:r w:rsidR="000238CE" w:rsidRPr="00806BB7">
        <w:rPr>
          <w:i/>
          <w:szCs w:val="24"/>
        </w:rPr>
        <w:t>of the standardized mean effect size (Hedge’s g) as a function of the standard error.</w:t>
      </w:r>
    </w:p>
    <w:p w14:paraId="3885E648" w14:textId="61B85897" w:rsidR="00884B52" w:rsidRPr="00806BB7" w:rsidRDefault="00884B52" w:rsidP="00884B52">
      <w:pPr>
        <w:pStyle w:val="Heading1"/>
        <w:rPr>
          <w:szCs w:val="24"/>
        </w:rPr>
      </w:pPr>
      <w:bookmarkStart w:id="28" w:name="_Toc39065452"/>
      <w:r w:rsidRPr="00806BB7">
        <w:rPr>
          <w:szCs w:val="24"/>
        </w:rPr>
        <w:t>Discussion</w:t>
      </w:r>
      <w:bookmarkEnd w:id="28"/>
    </w:p>
    <w:p w14:paraId="02DB666F" w14:textId="384F932A" w:rsidR="00884B52" w:rsidRPr="00806BB7" w:rsidRDefault="00884B52" w:rsidP="00884B52">
      <w:pPr>
        <w:contextualSpacing/>
        <w:rPr>
          <w:rFonts w:cs="Times New Roman"/>
          <w:bCs/>
          <w:szCs w:val="24"/>
        </w:rPr>
      </w:pPr>
      <w:r w:rsidRPr="00806BB7">
        <w:rPr>
          <w:rFonts w:cs="Times New Roman"/>
          <w:bCs/>
          <w:szCs w:val="24"/>
        </w:rPr>
        <w:t>The primary goal of this systematic review and meta-analysis was to assess the</w:t>
      </w:r>
      <w:r w:rsidR="0090215B" w:rsidRPr="00806BB7">
        <w:rPr>
          <w:rFonts w:cs="Times New Roman"/>
          <w:bCs/>
          <w:szCs w:val="24"/>
        </w:rPr>
        <w:t xml:space="preserve"> claim of</w:t>
      </w:r>
      <w:r w:rsidRPr="00806BB7">
        <w:rPr>
          <w:rFonts w:cs="Times New Roman"/>
          <w:bCs/>
          <w:szCs w:val="24"/>
        </w:rPr>
        <w:t xml:space="preserve"> </w:t>
      </w:r>
      <w:r w:rsidR="00AC0FF1" w:rsidRPr="00806BB7">
        <w:rPr>
          <w:rFonts w:cs="Times New Roman"/>
          <w:bCs/>
          <w:szCs w:val="24"/>
        </w:rPr>
        <w:t>perceptual</w:t>
      </w:r>
      <w:r w:rsidRPr="00806BB7">
        <w:rPr>
          <w:rFonts w:cs="Times New Roman"/>
          <w:bCs/>
          <w:szCs w:val="24"/>
        </w:rPr>
        <w:t xml:space="preserve"> anchoring</w:t>
      </w:r>
      <w:r w:rsidR="0090215B" w:rsidRPr="00806BB7">
        <w:rPr>
          <w:rFonts w:cs="Times New Roman"/>
          <w:bCs/>
          <w:szCs w:val="24"/>
        </w:rPr>
        <w:t xml:space="preserve"> deficits</w:t>
      </w:r>
      <w:r w:rsidR="00541393" w:rsidRPr="00806BB7">
        <w:rPr>
          <w:rFonts w:cs="Times New Roman"/>
          <w:bCs/>
          <w:szCs w:val="24"/>
        </w:rPr>
        <w:t xml:space="preserve"> in</w:t>
      </w:r>
      <w:r w:rsidRPr="00806BB7">
        <w:rPr>
          <w:rFonts w:cs="Times New Roman"/>
          <w:bCs/>
          <w:szCs w:val="24"/>
        </w:rPr>
        <w:t xml:space="preserve"> </w:t>
      </w:r>
      <w:r w:rsidR="00AC0FF1" w:rsidRPr="00806BB7">
        <w:rPr>
          <w:rFonts w:cs="Times New Roman"/>
          <w:bCs/>
          <w:szCs w:val="24"/>
        </w:rPr>
        <w:t>dyslexia</w:t>
      </w:r>
      <w:r w:rsidRPr="00806BB7">
        <w:rPr>
          <w:rFonts w:cs="Times New Roman"/>
          <w:bCs/>
          <w:szCs w:val="24"/>
        </w:rPr>
        <w:t xml:space="preserve">. Below, we discuss the results of our meta-analysis and how they may best be interpreted, the limitations of the current review, and critical reflection on the current state of perceptual anchoring research in </w:t>
      </w:r>
      <w:r w:rsidR="002E0EA8" w:rsidRPr="00806BB7">
        <w:rPr>
          <w:rFonts w:cs="Times New Roman"/>
          <w:bCs/>
          <w:szCs w:val="24"/>
        </w:rPr>
        <w:t>dyslexia</w:t>
      </w:r>
      <w:r w:rsidRPr="00806BB7">
        <w:rPr>
          <w:rFonts w:cs="Times New Roman"/>
          <w:bCs/>
          <w:szCs w:val="24"/>
        </w:rPr>
        <w:t>.</w:t>
      </w:r>
    </w:p>
    <w:p w14:paraId="35F554BE" w14:textId="2F6E5B28" w:rsidR="00884B52" w:rsidRPr="00806BB7" w:rsidRDefault="00884B52" w:rsidP="00884B52">
      <w:pPr>
        <w:pStyle w:val="Heading2"/>
        <w:rPr>
          <w:szCs w:val="24"/>
        </w:rPr>
      </w:pPr>
      <w:bookmarkStart w:id="29" w:name="_Toc39065453"/>
      <w:r w:rsidRPr="00806BB7">
        <w:rPr>
          <w:szCs w:val="24"/>
        </w:rPr>
        <w:t xml:space="preserve">Perceptual Anchoring and </w:t>
      </w:r>
      <w:bookmarkEnd w:id="29"/>
      <w:r w:rsidR="00541393" w:rsidRPr="00806BB7">
        <w:rPr>
          <w:szCs w:val="24"/>
        </w:rPr>
        <w:t>Dyslexia</w:t>
      </w:r>
      <w:r w:rsidRPr="00806BB7">
        <w:rPr>
          <w:szCs w:val="24"/>
        </w:rPr>
        <w:t xml:space="preserve"> </w:t>
      </w:r>
    </w:p>
    <w:p w14:paraId="1FC0BB25" w14:textId="3688C694" w:rsidR="00884B52" w:rsidRPr="00806BB7" w:rsidRDefault="00884B52" w:rsidP="00884B52">
      <w:pPr>
        <w:contextualSpacing/>
        <w:rPr>
          <w:rFonts w:cs="Times New Roman"/>
          <w:bCs/>
          <w:szCs w:val="24"/>
        </w:rPr>
      </w:pPr>
      <w:r w:rsidRPr="00806BB7">
        <w:rPr>
          <w:rFonts w:cs="Times New Roman"/>
          <w:bCs/>
          <w:szCs w:val="24"/>
        </w:rPr>
        <w:t xml:space="preserve">The results of our meta-analysis revealed a significant and </w:t>
      </w:r>
      <w:r w:rsidR="0090215B" w:rsidRPr="00806BB7">
        <w:rPr>
          <w:rFonts w:cs="Times New Roman"/>
          <w:bCs/>
          <w:szCs w:val="24"/>
        </w:rPr>
        <w:t xml:space="preserve">large effect of </w:t>
      </w:r>
      <w:r w:rsidRPr="00806BB7">
        <w:rPr>
          <w:rFonts w:cs="Times New Roman"/>
          <w:bCs/>
          <w:szCs w:val="24"/>
        </w:rPr>
        <w:t>perceptual anchoring</w:t>
      </w:r>
      <w:r w:rsidR="0090215B" w:rsidRPr="00806BB7">
        <w:rPr>
          <w:rFonts w:cs="Times New Roman"/>
          <w:bCs/>
          <w:szCs w:val="24"/>
        </w:rPr>
        <w:t xml:space="preserve"> deficits</w:t>
      </w:r>
      <w:r w:rsidRPr="00806BB7">
        <w:rPr>
          <w:rFonts w:cs="Times New Roman"/>
          <w:bCs/>
          <w:szCs w:val="24"/>
        </w:rPr>
        <w:t xml:space="preserve"> </w:t>
      </w:r>
      <w:r w:rsidR="0090215B" w:rsidRPr="00806BB7">
        <w:rPr>
          <w:rFonts w:cs="Times New Roman"/>
          <w:bCs/>
          <w:szCs w:val="24"/>
        </w:rPr>
        <w:t>in dyslexia</w:t>
      </w:r>
      <w:r w:rsidRPr="00806BB7">
        <w:rPr>
          <w:rFonts w:cs="Times New Roman"/>
          <w:bCs/>
          <w:szCs w:val="24"/>
        </w:rPr>
        <w:t xml:space="preserve">, and the results from our test of heterogeneity suggest a significant level of variability </w:t>
      </w:r>
      <w:r w:rsidR="00BE385B" w:rsidRPr="00806BB7">
        <w:rPr>
          <w:rFonts w:cs="Times New Roman"/>
          <w:bCs/>
          <w:szCs w:val="24"/>
        </w:rPr>
        <w:t xml:space="preserve">in </w:t>
      </w:r>
      <w:r w:rsidRPr="00806BB7">
        <w:rPr>
          <w:rFonts w:cs="Times New Roman"/>
          <w:bCs/>
          <w:szCs w:val="24"/>
        </w:rPr>
        <w:t>effect si</w:t>
      </w:r>
      <w:r w:rsidR="00911109" w:rsidRPr="00806BB7">
        <w:rPr>
          <w:rFonts w:cs="Times New Roman"/>
          <w:bCs/>
          <w:szCs w:val="24"/>
        </w:rPr>
        <w:t>zes across the included studies</w:t>
      </w:r>
      <w:r w:rsidR="008F1D30" w:rsidRPr="00806BB7">
        <w:rPr>
          <w:rFonts w:cs="Times New Roman"/>
          <w:bCs/>
          <w:iCs/>
          <w:szCs w:val="24"/>
        </w:rPr>
        <w:t xml:space="preserve">. </w:t>
      </w:r>
      <w:r w:rsidRPr="00806BB7">
        <w:rPr>
          <w:rFonts w:cs="Times New Roman"/>
          <w:bCs/>
          <w:szCs w:val="24"/>
        </w:rPr>
        <w:t xml:space="preserve">Although the outcome of our review suggests that </w:t>
      </w:r>
      <w:r w:rsidR="002E0EA8" w:rsidRPr="00806BB7">
        <w:rPr>
          <w:rFonts w:cs="Times New Roman"/>
          <w:bCs/>
          <w:szCs w:val="24"/>
        </w:rPr>
        <w:t>individuals with dyslexia</w:t>
      </w:r>
      <w:r w:rsidRPr="00806BB7">
        <w:rPr>
          <w:rFonts w:cs="Times New Roman"/>
          <w:bCs/>
          <w:szCs w:val="24"/>
        </w:rPr>
        <w:t xml:space="preserve">, on average, perform more poorly on measures of perceptual anchoring, relative to </w:t>
      </w:r>
      <w:r w:rsidR="002E0EA8" w:rsidRPr="00806BB7">
        <w:rPr>
          <w:rFonts w:cs="Times New Roman"/>
          <w:bCs/>
          <w:szCs w:val="24"/>
        </w:rPr>
        <w:t>those readers without dyslexia</w:t>
      </w:r>
      <w:r w:rsidRPr="00806BB7">
        <w:rPr>
          <w:rFonts w:cs="Times New Roman"/>
          <w:bCs/>
          <w:szCs w:val="24"/>
        </w:rPr>
        <w:t xml:space="preserve">, a greater number of studies is needed to produce a more robust </w:t>
      </w:r>
      <w:r w:rsidR="006241FD" w:rsidRPr="00806BB7">
        <w:rPr>
          <w:rFonts w:cs="Times New Roman"/>
          <w:bCs/>
          <w:szCs w:val="24"/>
        </w:rPr>
        <w:t xml:space="preserve">estimate </w:t>
      </w:r>
      <w:r w:rsidRPr="00806BB7">
        <w:rPr>
          <w:rFonts w:cs="Times New Roman"/>
          <w:bCs/>
          <w:szCs w:val="24"/>
        </w:rPr>
        <w:t>of this effect.</w:t>
      </w:r>
    </w:p>
    <w:p w14:paraId="3FD834D0" w14:textId="2FD6A49E" w:rsidR="00884B52" w:rsidRPr="00806BB7" w:rsidRDefault="00884B52" w:rsidP="00884B52">
      <w:pPr>
        <w:pStyle w:val="Heading2"/>
        <w:rPr>
          <w:szCs w:val="24"/>
        </w:rPr>
      </w:pPr>
      <w:bookmarkStart w:id="30" w:name="_Toc39065454"/>
      <w:r w:rsidRPr="00806BB7">
        <w:rPr>
          <w:szCs w:val="24"/>
        </w:rPr>
        <w:lastRenderedPageBreak/>
        <w:t>Limitations of the Current Review</w:t>
      </w:r>
      <w:bookmarkEnd w:id="30"/>
      <w:r w:rsidRPr="00806BB7">
        <w:rPr>
          <w:szCs w:val="24"/>
        </w:rPr>
        <w:t xml:space="preserve"> </w:t>
      </w:r>
    </w:p>
    <w:p w14:paraId="646ED625" w14:textId="0D9C1026" w:rsidR="00884B52" w:rsidRPr="00806BB7" w:rsidRDefault="00884B52" w:rsidP="00884B52">
      <w:pPr>
        <w:contextualSpacing/>
        <w:rPr>
          <w:rFonts w:cs="Times New Roman"/>
          <w:bCs/>
          <w:szCs w:val="24"/>
        </w:rPr>
      </w:pPr>
      <w:r w:rsidRPr="00806BB7">
        <w:rPr>
          <w:rFonts w:cs="Times New Roman"/>
          <w:bCs/>
          <w:szCs w:val="24"/>
        </w:rPr>
        <w:t>The primary limitation of the current review is the small number of included studies</w:t>
      </w:r>
      <w:r w:rsidR="002C37C1">
        <w:rPr>
          <w:rFonts w:cs="Times New Roman"/>
          <w:bCs/>
          <w:szCs w:val="24"/>
        </w:rPr>
        <w:t>;</w:t>
      </w:r>
      <w:r w:rsidR="004355C2">
        <w:rPr>
          <w:rFonts w:cs="Times New Roman"/>
          <w:bCs/>
          <w:szCs w:val="24"/>
        </w:rPr>
        <w:t xml:space="preserve"> however, </w:t>
      </w:r>
      <w:r w:rsidR="00577651">
        <w:rPr>
          <w:rFonts w:cs="Times New Roman"/>
          <w:bCs/>
          <w:szCs w:val="24"/>
        </w:rPr>
        <w:t xml:space="preserve">we feel </w:t>
      </w:r>
      <w:r w:rsidR="004355C2">
        <w:rPr>
          <w:rFonts w:cs="Times New Roman"/>
          <w:bCs/>
          <w:szCs w:val="24"/>
        </w:rPr>
        <w:t xml:space="preserve">this </w:t>
      </w:r>
      <w:r w:rsidR="00577651">
        <w:rPr>
          <w:rFonts w:cs="Times New Roman"/>
          <w:bCs/>
          <w:szCs w:val="24"/>
        </w:rPr>
        <w:t xml:space="preserve">is not a sufficient reason to exclude the meta-analysis from our review. </w:t>
      </w:r>
      <w:r w:rsidR="005C343E">
        <w:rPr>
          <w:rFonts w:cs="Times New Roman"/>
          <w:bCs/>
          <w:szCs w:val="24"/>
        </w:rPr>
        <w:t>Common heuristics vary in terms of required stud</w:t>
      </w:r>
      <w:r w:rsidR="008D0AC5">
        <w:rPr>
          <w:rFonts w:cs="Times New Roman"/>
          <w:bCs/>
          <w:szCs w:val="24"/>
        </w:rPr>
        <w:t>ies</w:t>
      </w:r>
      <w:r w:rsidR="005C343E">
        <w:rPr>
          <w:rFonts w:cs="Times New Roman"/>
          <w:bCs/>
          <w:szCs w:val="24"/>
        </w:rPr>
        <w:t xml:space="preserve"> with some estimates suggesting k &gt;</w:t>
      </w:r>
      <w:r w:rsidR="008D0AC5">
        <w:rPr>
          <w:rFonts w:cs="Times New Roman"/>
          <w:bCs/>
          <w:szCs w:val="24"/>
        </w:rPr>
        <w:t xml:space="preserve"> </w:t>
      </w:r>
      <w:r w:rsidR="005C343E">
        <w:rPr>
          <w:rFonts w:cs="Times New Roman"/>
          <w:bCs/>
          <w:szCs w:val="24"/>
        </w:rPr>
        <w:t>10</w:t>
      </w:r>
      <w:r w:rsidR="00D46EA9">
        <w:rPr>
          <w:rFonts w:cs="Times New Roman"/>
          <w:bCs/>
          <w:szCs w:val="24"/>
        </w:rPr>
        <w:t xml:space="preserve">, but these estimates often fail to account for changes in </w:t>
      </w:r>
      <w:r w:rsidR="001F63B8">
        <w:rPr>
          <w:rFonts w:cs="Times New Roman"/>
          <w:bCs/>
          <w:szCs w:val="24"/>
        </w:rPr>
        <w:t>the model</w:t>
      </w:r>
      <w:r w:rsidR="00683BC9">
        <w:rPr>
          <w:rFonts w:cs="Times New Roman"/>
          <w:bCs/>
          <w:szCs w:val="24"/>
        </w:rPr>
        <w:t>’</w:t>
      </w:r>
      <w:r w:rsidR="001F63B8">
        <w:rPr>
          <w:rFonts w:cs="Times New Roman"/>
          <w:bCs/>
          <w:szCs w:val="24"/>
        </w:rPr>
        <w:t xml:space="preserve">s power to detect an effect </w:t>
      </w:r>
      <w:r w:rsidR="00FD25C3">
        <w:rPr>
          <w:rFonts w:cs="Times New Roman"/>
          <w:bCs/>
          <w:szCs w:val="24"/>
        </w:rPr>
        <w:t>as the number of included studies vary</w:t>
      </w:r>
      <w:r w:rsidR="00134D7F">
        <w:rPr>
          <w:rFonts w:cs="Times New Roman"/>
          <w:bCs/>
          <w:szCs w:val="24"/>
        </w:rPr>
        <w:t xml:space="preserve"> </w:t>
      </w:r>
      <w:r w:rsidR="00134D7F">
        <w:rPr>
          <w:rFonts w:cs="Times New Roman"/>
          <w:bCs/>
          <w:szCs w:val="24"/>
        </w:rPr>
        <w:fldChar w:fldCharType="begin"/>
      </w:r>
      <w:r w:rsidR="00134D7F">
        <w:rPr>
          <w:rFonts w:cs="Times New Roman"/>
          <w:bCs/>
          <w:szCs w:val="24"/>
        </w:rPr>
        <w:instrText xml:space="preserve"> ADDIN ZOTERO_ITEM CSL_CITATION {"citationID":"fRrOtcO5","properties":{"formattedCitation":"(Valentine et al., 2010)","plainCitation":"(Valentine et al., 2010)","noteIndex":0},"citationItems":[{"id":491,"uris":["http://zotero.org/users/6317667/items/YFK888NZ"],"uri":["http://zotero.org/users/6317667/items/YFK888NZ"],"itemData":{"id":491,"type":"article-journal","abstract":"In this article, the authors outline methods for using fixed and random effects power analysis in the context of meta-analysis. Like statistical power analysis for primary studies, power analysis for meta-analysis can be done either prospectively or retrospectively and requires assumptions about parameters that are unknown. The authors provide some suggestions for thinking about these parameters, in particular for the random effects variance component. The authors also show how the typically uninformative retrospective power analysis can be made more informative. The authors then discuss the value of confidence intervals, show how they could be used in addition to or instead of retrospective power analysis, and also demonstrate that confidence intervals can convey information more effectively in some situations than power analyses alone. Finally, the authors take up the question “How many studies do you need to do a meta-analysis?” and show that, given the need for a conclusion, the answer is “two studies,” because all other synthesis techniques are less transparent and/or are less likely to be valid. For systematic reviewers who choose not to conduct a quantitative synthesis, the authors provide suggestions for both highlighting the current limitations in the research base and for displaying the characteristics and results of studies that were found to meet inclusion criteria.","container-title":"Journal of Educational and Behavioral Statistics","DOI":"10.3102/1076998609346961","ISSN":"1076-9986","issue":"2","journalAbbreviation":"Journal of Educational and Behavioral Statistics","language":"en","note":"publisher: American Educational Research Association","page":"215-247","source":"SAGE Journals","title":"How Many Studies Do You Need?: A Primer on Statistical Power for Meta-Analysis","title-short":"How Many Studies Do You Need?","volume":"35","author":[{"family":"Valentine","given":"Jeffrey C."},{"family":"Pigott","given":"Therese D."},{"family":"Rothstein","given":"Hannah R."}],"issued":{"date-parts":[["2010",4,1]]}}}],"schema":"https://github.com/citation-style-language/schema/raw/master/csl-citation.json"} </w:instrText>
      </w:r>
      <w:r w:rsidR="00134D7F">
        <w:rPr>
          <w:rFonts w:cs="Times New Roman"/>
          <w:bCs/>
          <w:szCs w:val="24"/>
        </w:rPr>
        <w:fldChar w:fldCharType="separate"/>
      </w:r>
      <w:r w:rsidR="00134D7F" w:rsidRPr="00134D7F">
        <w:rPr>
          <w:rFonts w:cs="Times New Roman"/>
        </w:rPr>
        <w:t>(Valentine et al., 2010)</w:t>
      </w:r>
      <w:r w:rsidR="00134D7F">
        <w:rPr>
          <w:rFonts w:cs="Times New Roman"/>
          <w:bCs/>
          <w:szCs w:val="24"/>
        </w:rPr>
        <w:fldChar w:fldCharType="end"/>
      </w:r>
      <w:r w:rsidR="005C343E">
        <w:rPr>
          <w:rFonts w:cs="Times New Roman"/>
          <w:bCs/>
          <w:szCs w:val="24"/>
        </w:rPr>
        <w:t xml:space="preserve">. </w:t>
      </w:r>
      <w:r w:rsidR="00577651">
        <w:rPr>
          <w:rFonts w:cs="Times New Roman"/>
          <w:bCs/>
          <w:szCs w:val="24"/>
        </w:rPr>
        <w:t xml:space="preserve">Indeed, it has been proposed that meta-analyses </w:t>
      </w:r>
      <w:r w:rsidR="00CE0727">
        <w:rPr>
          <w:rFonts w:cs="Times New Roman"/>
          <w:bCs/>
          <w:szCs w:val="24"/>
        </w:rPr>
        <w:t xml:space="preserve">of k ≥ </w:t>
      </w:r>
      <w:r w:rsidR="00577651">
        <w:rPr>
          <w:rFonts w:cs="Times New Roman"/>
          <w:bCs/>
          <w:szCs w:val="24"/>
        </w:rPr>
        <w:t xml:space="preserve">5 studies will likely yield an adequate increase in power </w:t>
      </w:r>
      <w:r w:rsidR="00712544">
        <w:rPr>
          <w:rFonts w:cs="Times New Roman"/>
          <w:bCs/>
          <w:szCs w:val="24"/>
        </w:rPr>
        <w:t>for</w:t>
      </w:r>
      <w:r w:rsidR="00134D7F">
        <w:rPr>
          <w:rFonts w:cs="Times New Roman"/>
          <w:bCs/>
          <w:szCs w:val="24"/>
        </w:rPr>
        <w:t xml:space="preserve"> most</w:t>
      </w:r>
      <w:r w:rsidR="00577651">
        <w:rPr>
          <w:rFonts w:cs="Times New Roman"/>
          <w:bCs/>
          <w:szCs w:val="24"/>
        </w:rPr>
        <w:t xml:space="preserve"> random-effects model</w:t>
      </w:r>
      <w:r w:rsidR="00712544">
        <w:rPr>
          <w:rFonts w:cs="Times New Roman"/>
          <w:bCs/>
          <w:szCs w:val="24"/>
        </w:rPr>
        <w:t>s</w:t>
      </w:r>
      <w:r w:rsidR="001F63B8">
        <w:rPr>
          <w:rFonts w:cs="Times New Roman"/>
          <w:bCs/>
          <w:szCs w:val="24"/>
        </w:rPr>
        <w:t xml:space="preserve"> and should always be considered advantageous when interpreted </w:t>
      </w:r>
      <w:r w:rsidR="002C37C1">
        <w:rPr>
          <w:rFonts w:cs="Times New Roman"/>
          <w:bCs/>
          <w:szCs w:val="24"/>
        </w:rPr>
        <w:t xml:space="preserve">appropriately </w:t>
      </w:r>
      <w:r w:rsidR="00712544">
        <w:rPr>
          <w:rFonts w:cs="Times New Roman"/>
          <w:bCs/>
          <w:szCs w:val="24"/>
        </w:rPr>
        <w:fldChar w:fldCharType="begin"/>
      </w:r>
      <w:r w:rsidR="00134D7F">
        <w:rPr>
          <w:rFonts w:cs="Times New Roman"/>
          <w:bCs/>
          <w:szCs w:val="24"/>
        </w:rPr>
        <w:instrText xml:space="preserve"> ADDIN ZOTERO_ITEM CSL_CITATION {"citationID":"N7CDtRZa","properties":{"formattedCitation":"(Jackson &amp; Turner, 2017)","plainCitation":"(Jackson &amp; Turner, 2017)","noteIndex":0},"citationItems":[{"id":488,"uris":["http://zotero.org/users/6317667/items/99HSU3ME"],"uri":["http://zotero.org/users/6317667/items/99HSU3ME"],"itemData":{"id":488,"type":"article-journal","abstract":"One of the reasons for the popularity of meta-analysis is the notion that these analyses will possess more power to detect effects than individual studies. This is inevitably the case under a fixed-effect model. However, the inclusion of the between-study variance in the random-effects model, and the need to estimate this parameter, can have unfortunate implications for this power. We develop methods for assessing the power of random-effects meta-analyses, and the average power of the individual studies that contribute to meta-analyses, so that these powers can be compared. In addition to deriving new analytical results and methods, we apply our methods to 1991 meta-analyses taken from the Cochrane Database of Systematic Reviews to retrospectively calculate their powers. We find that, in practice, 5 or more studies are needed to reasonably consistently achieve powers from random-effects meta-analyses that are greater than the studies that contribute to them. Not only is statistical inference under the random-effects model challenging when there are very few studies but also less worthwhile in such cases. The assumption that meta-analysis will result in an increase in power is challenged by our findings.","container-title":"Research Synthesis Methods","DOI":"10.1002/jrsm.1240","ISSN":"1759-2887","issue":"3","language":"en","note":"_eprint: https://onlinelibrary.wiley.com/doi/pdf/10.1002/jrsm.1240","page":"290-302","source":"Wiley Online Library","title":"Power analysis for random-effects meta-analysis","volume":"8","author":[{"family":"Jackson","given":"Dan"},{"family":"Turner","given":"Rebecca"}],"issued":{"date-parts":[["2017"]]}}}],"schema":"https://github.com/citation-style-language/schema/raw/master/csl-citation.json"} </w:instrText>
      </w:r>
      <w:r w:rsidR="00712544">
        <w:rPr>
          <w:rFonts w:cs="Times New Roman"/>
          <w:bCs/>
          <w:szCs w:val="24"/>
        </w:rPr>
        <w:fldChar w:fldCharType="separate"/>
      </w:r>
      <w:r w:rsidR="00134D7F" w:rsidRPr="00134D7F">
        <w:rPr>
          <w:rFonts w:cs="Times New Roman"/>
        </w:rPr>
        <w:t>(Jackson &amp; Turner, 2017)</w:t>
      </w:r>
      <w:r w:rsidR="00712544">
        <w:rPr>
          <w:rFonts w:cs="Times New Roman"/>
          <w:bCs/>
          <w:szCs w:val="24"/>
        </w:rPr>
        <w:fldChar w:fldCharType="end"/>
      </w:r>
      <w:r w:rsidR="005C343E">
        <w:rPr>
          <w:rFonts w:cs="Times New Roman"/>
          <w:bCs/>
          <w:szCs w:val="24"/>
        </w:rPr>
        <w:t xml:space="preserve">. </w:t>
      </w:r>
      <w:r w:rsidR="00712544">
        <w:rPr>
          <w:rFonts w:cs="Times New Roman"/>
          <w:bCs/>
          <w:szCs w:val="24"/>
        </w:rPr>
        <w:t xml:space="preserve"> </w:t>
      </w:r>
      <w:r w:rsidRPr="00806BB7">
        <w:rPr>
          <w:rFonts w:cs="Times New Roman"/>
          <w:bCs/>
          <w:szCs w:val="24"/>
        </w:rPr>
        <w:t>Th</w:t>
      </w:r>
      <w:r w:rsidR="00712544">
        <w:rPr>
          <w:rFonts w:cs="Times New Roman"/>
          <w:bCs/>
          <w:szCs w:val="24"/>
        </w:rPr>
        <w:t>e relative</w:t>
      </w:r>
      <w:r w:rsidR="00577651">
        <w:rPr>
          <w:rFonts w:cs="Times New Roman"/>
          <w:bCs/>
          <w:szCs w:val="24"/>
        </w:rPr>
        <w:t xml:space="preserve"> </w:t>
      </w:r>
      <w:r w:rsidR="002801E6">
        <w:rPr>
          <w:rFonts w:cs="Times New Roman"/>
          <w:bCs/>
          <w:szCs w:val="24"/>
        </w:rPr>
        <w:t>shortage</w:t>
      </w:r>
      <w:r w:rsidR="00712544">
        <w:rPr>
          <w:rFonts w:cs="Times New Roman"/>
          <w:bCs/>
          <w:szCs w:val="24"/>
        </w:rPr>
        <w:t xml:space="preserve"> of studies to synthesize</w:t>
      </w:r>
      <w:r w:rsidRPr="00806BB7">
        <w:rPr>
          <w:rFonts w:cs="Times New Roman"/>
          <w:bCs/>
          <w:szCs w:val="24"/>
        </w:rPr>
        <w:t xml:space="preserve"> can be partially accounted for by the novelty </w:t>
      </w:r>
      <w:r w:rsidR="004775DB" w:rsidRPr="00806BB7">
        <w:rPr>
          <w:rFonts w:cs="Times New Roman"/>
          <w:bCs/>
          <w:szCs w:val="24"/>
        </w:rPr>
        <w:t xml:space="preserve">of </w:t>
      </w:r>
      <w:r w:rsidR="00CD0BEA" w:rsidRPr="00806BB7">
        <w:rPr>
          <w:rFonts w:cs="Times New Roman"/>
          <w:bCs/>
          <w:szCs w:val="24"/>
        </w:rPr>
        <w:t>perceptual anchoring studies but may also be accounted for by</w:t>
      </w:r>
      <w:r w:rsidR="004775DB" w:rsidRPr="00806BB7">
        <w:rPr>
          <w:rFonts w:cs="Times New Roman"/>
          <w:bCs/>
          <w:szCs w:val="24"/>
        </w:rPr>
        <w:t xml:space="preserve"> t</w:t>
      </w:r>
      <w:r w:rsidR="00911109" w:rsidRPr="00806BB7">
        <w:rPr>
          <w:rFonts w:cs="Times New Roman"/>
          <w:bCs/>
          <w:szCs w:val="24"/>
        </w:rPr>
        <w:t xml:space="preserve">he </w:t>
      </w:r>
      <w:r w:rsidR="003E52CC" w:rsidRPr="00806BB7">
        <w:rPr>
          <w:rFonts w:cs="Times New Roman"/>
          <w:bCs/>
          <w:szCs w:val="24"/>
        </w:rPr>
        <w:t>fact that</w:t>
      </w:r>
      <w:r w:rsidR="004775DB" w:rsidRPr="00806BB7">
        <w:rPr>
          <w:rFonts w:cs="Times New Roman"/>
          <w:bCs/>
          <w:szCs w:val="24"/>
        </w:rPr>
        <w:t xml:space="preserve"> null findings are </w:t>
      </w:r>
      <w:r w:rsidR="00911109" w:rsidRPr="00806BB7">
        <w:rPr>
          <w:rFonts w:cs="Times New Roman"/>
          <w:bCs/>
          <w:szCs w:val="24"/>
        </w:rPr>
        <w:t>inaccessible t</w:t>
      </w:r>
      <w:r w:rsidR="000B5514" w:rsidRPr="00806BB7">
        <w:rPr>
          <w:rFonts w:cs="Times New Roman"/>
          <w:bCs/>
          <w:szCs w:val="24"/>
        </w:rPr>
        <w:t xml:space="preserve">o the broader research community due to publication bias. </w:t>
      </w:r>
      <w:r w:rsidR="002C37C1">
        <w:rPr>
          <w:rFonts w:cs="Times New Roman"/>
          <w:bCs/>
          <w:szCs w:val="24"/>
        </w:rPr>
        <w:t>V</w:t>
      </w:r>
      <w:r w:rsidR="000B5514" w:rsidRPr="00806BB7">
        <w:rPr>
          <w:rFonts w:cs="Times New Roman"/>
          <w:bCs/>
          <w:szCs w:val="24"/>
        </w:rPr>
        <w:t xml:space="preserve">isual inspection of funnel plots and statistical evaluation </w:t>
      </w:r>
      <w:r w:rsidR="007F01E0" w:rsidRPr="00806BB7">
        <w:rPr>
          <w:rFonts w:cs="Times New Roman"/>
          <w:bCs/>
          <w:szCs w:val="24"/>
        </w:rPr>
        <w:t xml:space="preserve">of </w:t>
      </w:r>
      <w:r w:rsidR="00D768ED" w:rsidRPr="00806BB7">
        <w:rPr>
          <w:rFonts w:cs="Times New Roman"/>
          <w:bCs/>
          <w:szCs w:val="24"/>
        </w:rPr>
        <w:t>the</w:t>
      </w:r>
      <w:r w:rsidR="000B5514" w:rsidRPr="00806BB7">
        <w:rPr>
          <w:rFonts w:cs="Times New Roman"/>
          <w:bCs/>
          <w:szCs w:val="24"/>
        </w:rPr>
        <w:t xml:space="preserve"> plot</w:t>
      </w:r>
      <w:r w:rsidR="00D768ED" w:rsidRPr="00806BB7">
        <w:rPr>
          <w:rFonts w:cs="Times New Roman"/>
          <w:bCs/>
          <w:szCs w:val="24"/>
        </w:rPr>
        <w:t>’</w:t>
      </w:r>
      <w:r w:rsidR="000B5514" w:rsidRPr="00806BB7">
        <w:rPr>
          <w:rFonts w:cs="Times New Roman"/>
          <w:bCs/>
          <w:szCs w:val="24"/>
        </w:rPr>
        <w:t xml:space="preserve">s asymmetry </w:t>
      </w:r>
      <w:r w:rsidR="007F01E0" w:rsidRPr="00806BB7">
        <w:rPr>
          <w:rFonts w:cs="Times New Roman"/>
          <w:bCs/>
          <w:szCs w:val="24"/>
        </w:rPr>
        <w:t xml:space="preserve">are used to address the latter concern. The funnel plot and its evaluation in this meta-analysis do not imply bias. </w:t>
      </w:r>
      <w:r w:rsidR="007F01E0" w:rsidRPr="00806BB7">
        <w:rPr>
          <w:rFonts w:cs="Times New Roman"/>
          <w:bCs/>
          <w:iCs/>
          <w:szCs w:val="24"/>
        </w:rPr>
        <w:t>However, interpretation of this outcome should be done cautiously</w:t>
      </w:r>
      <w:r w:rsidR="00FF4B97">
        <w:rPr>
          <w:rFonts w:cs="Times New Roman"/>
          <w:bCs/>
          <w:iCs/>
          <w:szCs w:val="24"/>
        </w:rPr>
        <w:t xml:space="preserve"> as the tests sensitivity to detect publication bias decreases when the number of included studies is small</w:t>
      </w:r>
      <w:r w:rsidR="007F01E0" w:rsidRPr="00806BB7">
        <w:rPr>
          <w:rFonts w:cs="Times New Roman"/>
          <w:bCs/>
          <w:iCs/>
          <w:szCs w:val="24"/>
        </w:rPr>
        <w:t xml:space="preserve"> </w:t>
      </w:r>
      <w:r w:rsidR="007F01E0" w:rsidRPr="00806BB7">
        <w:rPr>
          <w:rFonts w:cs="Times New Roman"/>
          <w:bCs/>
          <w:iCs/>
          <w:szCs w:val="24"/>
        </w:rPr>
        <w:fldChar w:fldCharType="begin"/>
      </w:r>
      <w:r w:rsidR="004F04D3" w:rsidRPr="00806BB7">
        <w:rPr>
          <w:rFonts w:cs="Times New Roman"/>
          <w:bCs/>
          <w:iCs/>
          <w:szCs w:val="24"/>
        </w:rPr>
        <w:instrText xml:space="preserve"> ADDIN ZOTERO_ITEM CSL_CITATION {"citationID":"lFWfpafU","properties":{"formattedCitation":"(Egger et al., 1997; Higgins, 2008; Sterne et al., 2011)","plainCitation":"(Egger et al., 1997; Higgins, 2008; Sterne et al., 2011)","dontUpdate":true,"noteIndex":0},"citationItems":[{"id":74,"uris":["http://zotero.org/users/6317667/items/IKMB4PU7"],"uri":["http://zotero.org/users/6317667/items/IKMB4PU7"],"itemData":{"id":74,"type":"article-journal","container-title":"BMJ","DOI":"10.1136/bmj.315.7109.629","ISSN":"7109","title":"Bias in meta-analysis detected by a simple, graphical test","volume":"315(7109)","author":[{"family":"Egger","given":"Matthias"},{"family":"Smith","given":"George Davey"},{"family":"Schneider","given":"Martin"},{"family":"Minder","given":"Christoph"}],"issued":{"date-parts":[["1997",9,13]]}}},{"id":18,"uris":["http://zotero.org/users/6317667/items/H9836NPZ"],"uri":["http://zotero.org/users/6317667/items/H9836NPZ"],"itemData":{"id":18,"type":"article-journal","abstract":"It is generally accepted that meta-analyses should assess heterogeneity, which may be defined as the presence of variation in true effect sizes underlying the d","container-title":"International Journal of Epidemiology","DOI":"10.1093/ije/dyn204","ISSN":"0300-5771","issue":"5","journalAbbreviation":"Int J Epidemiol","language":"en","page":"1158-1160","source":"academic.oup.com","title":"Commentary: Heterogeneity in meta-analysis should be expected and appropriately quantified","title-short":"Commentary","volume":"37","author":[{"family":"Higgins","given":"Julian P. T."}],"issued":{"date-parts":[["2008",10,1]]}}},{"id":343,"uris":["http://zotero.org/users/6317667/items/LXLUZT8Y"],"uri":["http://zotero.org/users/6317667/items/LXLUZT8Y"],"itemData":{"id":343,"type":"article-journal","abstract":"&lt;p&gt;Funnel plots, and tests for funnel plot asymmetry, have been widely used to examine bias in the results of meta-analyses. Funnel plot asymmetry should not be equated with publication bias, because it has a number of other possible causes. This article describes how to interpret funnel plot asymmetry, recommends appropriate tests, and explains the implications for choice of meta-analysis model&lt;/p&gt;","container-title":"BMJ","DOI":"10.1136/bmj.d4002","ISSN":"0959-8138, 1468-5833","journalAbbreviation":"BMJ","language":"en","note":"publisher: British Medical Journal Publishing Group\nsection: Research Methods &amp;amp; Reporting\nPMID: 21784880","source":"www.bmj.com","title":"Recommendations for examining and interpreting funnel plot asymmetry in meta-analyses of randomised controlled trials","URL":"https://www.bmj.com/content/343/bmj.d4002","volume":"343","author":[{"family":"Sterne","given":"Jonathan A. C."},{"family":"Sutton","given":"Alex J."},{"family":"Ioannidis","given":"John P. A."},{"family":"Terrin","given":"Norma"},{"family":"Jones","given":"David R."},{"family":"Lau","given":"Joseph"},{"family":"Carpenter","given":"James"},{"family":"Rücker","given":"Gerta"},{"family":"Harbord","given":"Roger M."},{"family":"Schmid","given":"Christopher H."},{"family":"Tetzlaff","given":"Jennifer"},{"family":"Deeks","given":"Jonathan J."},{"family":"Peters","given":"Jaime"},{"family":"Macaskill","given":"Petra"},{"family":"Schwarzer","given":"Guido"},{"family":"Duval","given":"Sue"},{"family":"Altman","given":"Douglas G."},{"family":"Moher","given":"David"},{"family":"Higgins","given":"Julian P. T."}],"accessed":{"date-parts":[["2020",5,1]]},"issued":{"date-parts":[["2011",7,22]]}}}],"schema":"https://github.com/citation-style-language/schema/raw/master/csl-citation.json"} </w:instrText>
      </w:r>
      <w:r w:rsidR="007F01E0" w:rsidRPr="00806BB7">
        <w:rPr>
          <w:rFonts w:cs="Times New Roman"/>
          <w:bCs/>
          <w:iCs/>
          <w:szCs w:val="24"/>
        </w:rPr>
        <w:fldChar w:fldCharType="separate"/>
      </w:r>
      <w:r w:rsidR="007F01E0" w:rsidRPr="00806BB7">
        <w:rPr>
          <w:rFonts w:cs="Times New Roman"/>
          <w:szCs w:val="24"/>
        </w:rPr>
        <w:t>(</w:t>
      </w:r>
      <w:r w:rsidR="00BE385B" w:rsidRPr="00806BB7">
        <w:rPr>
          <w:rFonts w:cs="Times New Roman"/>
          <w:szCs w:val="24"/>
        </w:rPr>
        <w:t xml:space="preserve">see </w:t>
      </w:r>
      <w:r w:rsidR="007F01E0" w:rsidRPr="00806BB7">
        <w:rPr>
          <w:rFonts w:cs="Times New Roman"/>
          <w:szCs w:val="24"/>
        </w:rPr>
        <w:t>Egger et al., 1997; Higgins, 2008; Sterne et al., 2011)</w:t>
      </w:r>
      <w:r w:rsidR="007F01E0" w:rsidRPr="00806BB7">
        <w:rPr>
          <w:rFonts w:cs="Times New Roman"/>
          <w:bCs/>
          <w:iCs/>
          <w:szCs w:val="24"/>
        </w:rPr>
        <w:fldChar w:fldCharType="end"/>
      </w:r>
      <w:r w:rsidR="00AF1EF7" w:rsidRPr="00806BB7">
        <w:rPr>
          <w:rFonts w:cs="Times New Roman"/>
          <w:bCs/>
          <w:iCs/>
          <w:szCs w:val="24"/>
        </w:rPr>
        <w:t>.</w:t>
      </w:r>
      <w:r w:rsidR="007F01E0" w:rsidRPr="00806BB7">
        <w:rPr>
          <w:rFonts w:cs="Times New Roman"/>
          <w:bCs/>
          <w:szCs w:val="24"/>
        </w:rPr>
        <w:t xml:space="preserve"> </w:t>
      </w:r>
      <w:r w:rsidR="003E52CC" w:rsidRPr="00806BB7">
        <w:rPr>
          <w:rFonts w:cs="Times New Roman"/>
          <w:bCs/>
          <w:szCs w:val="24"/>
        </w:rPr>
        <w:t xml:space="preserve">Further, </w:t>
      </w:r>
      <w:r w:rsidR="00205628" w:rsidRPr="00806BB7">
        <w:rPr>
          <w:rFonts w:cs="Times New Roman"/>
          <w:bCs/>
          <w:szCs w:val="24"/>
        </w:rPr>
        <w:t>given the variability in experimental design and sample demographics, the increased and significant level of heterogeneity between the included studies is</w:t>
      </w:r>
      <w:r w:rsidR="00FD62D6" w:rsidRPr="00806BB7">
        <w:rPr>
          <w:rFonts w:cs="Times New Roman"/>
          <w:bCs/>
          <w:szCs w:val="24"/>
        </w:rPr>
        <w:t xml:space="preserve"> </w:t>
      </w:r>
      <w:r w:rsidR="00A922D0" w:rsidRPr="00806BB7">
        <w:rPr>
          <w:rFonts w:cs="Times New Roman"/>
          <w:bCs/>
          <w:szCs w:val="24"/>
        </w:rPr>
        <w:t>unsurprising</w:t>
      </w:r>
      <w:r w:rsidR="00FD62D6" w:rsidRPr="00806BB7">
        <w:rPr>
          <w:rFonts w:cs="Times New Roman"/>
          <w:bCs/>
          <w:szCs w:val="24"/>
        </w:rPr>
        <w:t>.</w:t>
      </w:r>
      <w:r w:rsidR="00205628" w:rsidRPr="00806BB7">
        <w:rPr>
          <w:rFonts w:cs="Times New Roman"/>
          <w:bCs/>
          <w:szCs w:val="24"/>
        </w:rPr>
        <w:t xml:space="preserve"> </w:t>
      </w:r>
    </w:p>
    <w:p w14:paraId="0B1A2755" w14:textId="2F47D135" w:rsidR="00884B52" w:rsidRPr="00806BB7" w:rsidRDefault="00884B52" w:rsidP="00884B52">
      <w:pPr>
        <w:pStyle w:val="Heading2"/>
        <w:rPr>
          <w:szCs w:val="24"/>
        </w:rPr>
      </w:pPr>
      <w:bookmarkStart w:id="31" w:name="_Toc39065455"/>
      <w:r w:rsidRPr="00806BB7">
        <w:rPr>
          <w:szCs w:val="24"/>
        </w:rPr>
        <w:t>Limitations of the Current Literature</w:t>
      </w:r>
      <w:bookmarkEnd w:id="31"/>
      <w:r w:rsidRPr="00806BB7">
        <w:rPr>
          <w:szCs w:val="24"/>
        </w:rPr>
        <w:t xml:space="preserve"> </w:t>
      </w:r>
    </w:p>
    <w:p w14:paraId="7966A847" w14:textId="6C438860" w:rsidR="007D1663" w:rsidRPr="00806BB7" w:rsidRDefault="00884B52" w:rsidP="00884B52">
      <w:pPr>
        <w:contextualSpacing/>
        <w:rPr>
          <w:rFonts w:cs="Times New Roman"/>
          <w:bCs/>
          <w:szCs w:val="24"/>
          <w:lang w:val="en-CA"/>
        </w:rPr>
      </w:pPr>
      <w:r w:rsidRPr="00806BB7">
        <w:rPr>
          <w:rFonts w:cs="Times New Roman"/>
          <w:bCs/>
          <w:szCs w:val="24"/>
          <w:lang w:val="en-CA"/>
        </w:rPr>
        <w:t>In its inception</w:t>
      </w:r>
      <w:r w:rsidR="00C23EAD">
        <w:rPr>
          <w:rFonts w:cs="Times New Roman"/>
          <w:bCs/>
          <w:szCs w:val="24"/>
          <w:lang w:val="en-CA"/>
        </w:rPr>
        <w:t>,</w:t>
      </w:r>
      <w:r w:rsidRPr="00806BB7">
        <w:rPr>
          <w:rFonts w:cs="Times New Roman"/>
          <w:bCs/>
          <w:szCs w:val="24"/>
          <w:lang w:val="en-CA"/>
        </w:rPr>
        <w:t xml:space="preserve"> the anchoring effect was revealed via frequency discrimination tasks in which the inclusion of a reference pure tone benefited non-dyslexic listeners but not dyslexic listeners </w:t>
      </w:r>
      <w:r w:rsidR="00B137A1" w:rsidRPr="00806BB7">
        <w:rPr>
          <w:rFonts w:cs="Times New Roman"/>
          <w:bCs/>
          <w:szCs w:val="24"/>
          <w:lang w:val="en-CA"/>
        </w:rPr>
        <w:fldChar w:fldCharType="begin"/>
      </w:r>
      <w:r w:rsidR="00095E48" w:rsidRPr="00806BB7">
        <w:rPr>
          <w:rFonts w:cs="Times New Roman"/>
          <w:bCs/>
          <w:szCs w:val="24"/>
          <w:lang w:val="en-CA"/>
        </w:rPr>
        <w:instrText xml:space="preserve"> ADDIN ZOTERO_ITEM CSL_CITATION {"citationID":"c167yeZn","properties":{"formattedCitation":"(Banai &amp; Ahissar, 2006)","plainCitation":"(Banai &amp; Ahissar, 2006)","noteIndex":0},"citationItems":[{"id":97,"uris":["http://zotero.org/users/6317667/items/JH93KHB9"],"uri":["http://zotero.org/users/6317667/items/JH93KHB9"],"itemData":{"id":97,"type":"article-journal","abstract":"The nature of the fundamental deficit underlying reading disability is the subject of a long-standing debate. We previously found that dyslexics with additional learning difficulties (D-LDs) perform poorly in simple auditory tasks. We now tried to determine whether these deficits relate to stimulus or task complexity. We found that the degree of impairment was dependent on task rather than stimulus complexity. D-LDs could adequately detect and identify mild frequency changes in simple pure tones and minimal phonemic changes in complex speech sounds when task required only simple same–different discriminations. However, when task required the identification of the direction of frequency change or the ordinal position of a repeated tonal or speech stimulus, D-LDs' performance substantially deteriorated. This behavioral pattern suggests that D-LDs suffer from a similar type of deficits when processing speech and nonspeech sounds. In both cases, the extent of difficulties is determined by the structure of the task rather than by stimulus composition or complexity.","container-title":"Cerebral Cortex","DOI":"10.1093/cercor/bhj107","ISSN":"1047-3211","issue":"12","page":"1718-1728","title":"Auditory Processing Deficits in Dyslexia: Task or Stimulus Related?","volume":"16","author":[{"family":"Banai","given":"Karen"},{"family":"Ahissar","given":"Merav"}],"issued":{"date-parts":[["2006"]]}}}],"schema":"https://github.com/citation-style-language/schema/raw/master/csl-citation.json"} </w:instrText>
      </w:r>
      <w:r w:rsidR="00B137A1" w:rsidRPr="00806BB7">
        <w:rPr>
          <w:rFonts w:cs="Times New Roman"/>
          <w:bCs/>
          <w:szCs w:val="24"/>
          <w:lang w:val="en-CA"/>
        </w:rPr>
        <w:fldChar w:fldCharType="separate"/>
      </w:r>
      <w:r w:rsidR="00B137A1" w:rsidRPr="00806BB7">
        <w:rPr>
          <w:rFonts w:cs="Times New Roman"/>
          <w:szCs w:val="24"/>
        </w:rPr>
        <w:t>(Banai &amp; Ahissar, 2006)</w:t>
      </w:r>
      <w:r w:rsidR="00B137A1" w:rsidRPr="00806BB7">
        <w:rPr>
          <w:rFonts w:cs="Times New Roman"/>
          <w:bCs/>
          <w:szCs w:val="24"/>
          <w:lang w:val="en-CA"/>
        </w:rPr>
        <w:fldChar w:fldCharType="end"/>
      </w:r>
      <w:r w:rsidRPr="00806BB7">
        <w:rPr>
          <w:rFonts w:cs="Times New Roman"/>
          <w:bCs/>
          <w:szCs w:val="24"/>
          <w:lang w:val="en-CA"/>
        </w:rPr>
        <w:t xml:space="preserve">. Discussions following this predicted that </w:t>
      </w:r>
      <w:r w:rsidR="00F671BA" w:rsidRPr="00806BB7">
        <w:rPr>
          <w:rFonts w:cs="Times New Roman"/>
          <w:bCs/>
          <w:szCs w:val="24"/>
          <w:lang w:val="en-CA"/>
        </w:rPr>
        <w:t>impaired</w:t>
      </w:r>
      <w:r w:rsidRPr="00806BB7">
        <w:rPr>
          <w:rFonts w:cs="Times New Roman"/>
          <w:bCs/>
          <w:szCs w:val="24"/>
          <w:lang w:val="en-CA"/>
        </w:rPr>
        <w:t xml:space="preserve"> anchoring could account for the reduced performance </w:t>
      </w:r>
      <w:r w:rsidR="00F671BA" w:rsidRPr="00806BB7">
        <w:rPr>
          <w:rFonts w:cs="Times New Roman"/>
          <w:bCs/>
          <w:szCs w:val="24"/>
          <w:lang w:val="en-CA"/>
        </w:rPr>
        <w:t xml:space="preserve">in both auditory and visual modalities, attentional tasks and as a reinterpretation of phonological difficulties that are typically </w:t>
      </w:r>
      <w:r w:rsidR="00001F41" w:rsidRPr="00806BB7">
        <w:rPr>
          <w:rFonts w:cs="Times New Roman"/>
          <w:bCs/>
          <w:szCs w:val="24"/>
          <w:lang w:val="en-CA"/>
        </w:rPr>
        <w:t>identified as the primary deficit for a substantial proportion of the</w:t>
      </w:r>
      <w:r w:rsidR="00F671BA" w:rsidRPr="00806BB7">
        <w:rPr>
          <w:rFonts w:cs="Times New Roman"/>
          <w:bCs/>
          <w:szCs w:val="24"/>
          <w:lang w:val="en-CA"/>
        </w:rPr>
        <w:t xml:space="preserve"> dyslexic </w:t>
      </w:r>
      <w:r w:rsidR="00F671BA" w:rsidRPr="00806BB7">
        <w:rPr>
          <w:rFonts w:cs="Times New Roman"/>
          <w:bCs/>
          <w:szCs w:val="24"/>
          <w:lang w:val="en-CA"/>
        </w:rPr>
        <w:lastRenderedPageBreak/>
        <w:t>population</w:t>
      </w:r>
      <w:r w:rsidR="00A144CD">
        <w:rPr>
          <w:rFonts w:cs="Times New Roman"/>
          <w:bCs/>
          <w:szCs w:val="24"/>
          <w:lang w:val="en-CA"/>
        </w:rPr>
        <w:t xml:space="preserve"> </w:t>
      </w:r>
      <w:r w:rsidR="00B137A1" w:rsidRPr="00806BB7">
        <w:rPr>
          <w:rFonts w:cs="Times New Roman"/>
          <w:bCs/>
          <w:szCs w:val="24"/>
          <w:lang w:val="en-CA"/>
        </w:rPr>
        <w:fldChar w:fldCharType="begin"/>
      </w:r>
      <w:r w:rsidR="00095E48" w:rsidRPr="00806BB7">
        <w:rPr>
          <w:rFonts w:cs="Times New Roman"/>
          <w:bCs/>
          <w:szCs w:val="24"/>
          <w:lang w:val="en-CA"/>
        </w:rPr>
        <w:instrText xml:space="preserve"> ADDIN ZOTERO_ITEM CSL_CITATION {"citationID":"GmWXN1LI","properties":{"formattedCitation":"(Ahissar, 2007)","plainCitation":"(Ahissar, 2007)","dontUpdate":true,"noteIndex":0},"citationItems":[{"id":1,"uris":["http://zotero.org/users/6317667/items/EUWN5LG2"],"uri":["http://zotero.org/users/6317667/items/EUWN5LG2"],"itemData":{"id":1,"type":"article-journal","abstract":"The ‘core deficit’ of dyslexia has been characterized by different researchers in terms of either phonological impairments or of difficulties in processing basic visual and auditory stimuli. Recent findings suggest that a single type of impairment in the dynamics of perception, which affects the efficiency of short-term memory, might underlie the broad range of difficulties of dyslexics. Experimental findings show that the general population quickly and automatically tunes around incoming stimuli, ‘anchors to them’ and performs faster and more accurately when these stimuli are subsequently repeated. Dyslexic individuals fail to benefit from stimulus-specific repetitions. This deficit can account for phonological, working memory, visual and auditory difficulties, in addition to the greater sensitivity of dyslexics to external noise.","container-title":"Trends in Cognitive Sciences","DOI":"10.1016/j.tics.2007.08.015","ISSN":"1364-6613","issue":"11","page":"458-465","title":"Dyslexia and the anchoring-deficit hypothesis","volume":"11","author":[{"family":"Ahissar","given":"Merav"}],"issued":{"date-parts":[["2007"]]}}}],"schema":"https://github.com/citation-style-language/schema/raw/master/csl-citation.json"} </w:instrText>
      </w:r>
      <w:r w:rsidR="00B137A1" w:rsidRPr="00806BB7">
        <w:rPr>
          <w:rFonts w:cs="Times New Roman"/>
          <w:bCs/>
          <w:szCs w:val="24"/>
          <w:lang w:val="en-CA"/>
        </w:rPr>
        <w:fldChar w:fldCharType="separate"/>
      </w:r>
      <w:r w:rsidR="00EE67EB" w:rsidRPr="00806BB7">
        <w:rPr>
          <w:rFonts w:cs="Times New Roman"/>
          <w:szCs w:val="24"/>
        </w:rPr>
        <w:t>(</w:t>
      </w:r>
      <w:r w:rsidR="00B137A1" w:rsidRPr="00806BB7">
        <w:rPr>
          <w:rFonts w:cs="Times New Roman"/>
          <w:szCs w:val="24"/>
        </w:rPr>
        <w:t>Ahissar, 2007)</w:t>
      </w:r>
      <w:r w:rsidR="00B137A1" w:rsidRPr="00806BB7">
        <w:rPr>
          <w:rFonts w:cs="Times New Roman"/>
          <w:bCs/>
          <w:szCs w:val="24"/>
          <w:lang w:val="en-CA"/>
        </w:rPr>
        <w:fldChar w:fldCharType="end"/>
      </w:r>
      <w:r w:rsidR="00F671BA" w:rsidRPr="00806BB7">
        <w:rPr>
          <w:rFonts w:cs="Times New Roman"/>
          <w:bCs/>
          <w:szCs w:val="24"/>
          <w:lang w:val="en-CA"/>
        </w:rPr>
        <w:t>.</w:t>
      </w:r>
      <w:r w:rsidR="00B137A1" w:rsidRPr="00806BB7">
        <w:rPr>
          <w:rFonts w:cs="Times New Roman"/>
          <w:bCs/>
          <w:szCs w:val="24"/>
          <w:lang w:val="en-CA"/>
        </w:rPr>
        <w:t xml:space="preserve"> I</w:t>
      </w:r>
      <w:r w:rsidRPr="00806BB7">
        <w:rPr>
          <w:rFonts w:cs="Times New Roman"/>
          <w:bCs/>
          <w:szCs w:val="24"/>
          <w:lang w:val="en-CA"/>
        </w:rPr>
        <w:t xml:space="preserve">nvestigations into these predictions, several of which are included in this review, have </w:t>
      </w:r>
      <w:r w:rsidR="00C409DF" w:rsidRPr="00806BB7">
        <w:rPr>
          <w:rFonts w:cs="Times New Roman"/>
          <w:bCs/>
          <w:szCs w:val="24"/>
          <w:lang w:val="en-CA"/>
        </w:rPr>
        <w:t xml:space="preserve">addressed the perceptual anchoring deficit hypothesis through </w:t>
      </w:r>
      <w:r w:rsidR="00820378" w:rsidRPr="00806BB7">
        <w:rPr>
          <w:rFonts w:cs="Times New Roman"/>
          <w:bCs/>
          <w:szCs w:val="24"/>
          <w:lang w:val="en-CA"/>
        </w:rPr>
        <w:t>divergent</w:t>
      </w:r>
      <w:r w:rsidR="00C409DF" w:rsidRPr="00806BB7">
        <w:rPr>
          <w:rFonts w:cs="Times New Roman"/>
          <w:bCs/>
          <w:szCs w:val="24"/>
          <w:lang w:val="en-CA"/>
        </w:rPr>
        <w:t xml:space="preserve"> experimental designs. </w:t>
      </w:r>
      <w:r w:rsidR="00DE288C" w:rsidRPr="00806BB7">
        <w:rPr>
          <w:rFonts w:cs="Times New Roman"/>
          <w:bCs/>
          <w:szCs w:val="24"/>
          <w:lang w:val="en-CA"/>
        </w:rPr>
        <w:t>However</w:t>
      </w:r>
      <w:r w:rsidR="00C409DF" w:rsidRPr="00806BB7">
        <w:rPr>
          <w:rFonts w:cs="Times New Roman"/>
          <w:bCs/>
          <w:szCs w:val="24"/>
          <w:lang w:val="en-CA"/>
        </w:rPr>
        <w:t xml:space="preserve">, one </w:t>
      </w:r>
      <w:r w:rsidR="007E78E0" w:rsidRPr="00806BB7">
        <w:rPr>
          <w:rFonts w:cs="Times New Roman"/>
          <w:bCs/>
          <w:szCs w:val="24"/>
          <w:lang w:val="en-CA"/>
        </w:rPr>
        <w:t>advantage</w:t>
      </w:r>
      <w:r w:rsidR="00C409DF" w:rsidRPr="00806BB7">
        <w:rPr>
          <w:rFonts w:cs="Times New Roman"/>
          <w:bCs/>
          <w:szCs w:val="24"/>
          <w:lang w:val="en-CA"/>
        </w:rPr>
        <w:t xml:space="preserve"> </w:t>
      </w:r>
      <w:r w:rsidR="007E78E0" w:rsidRPr="00806BB7">
        <w:rPr>
          <w:rFonts w:cs="Times New Roman"/>
          <w:bCs/>
          <w:szCs w:val="24"/>
          <w:lang w:val="en-CA"/>
        </w:rPr>
        <w:t>in</w:t>
      </w:r>
      <w:r w:rsidR="00C409DF" w:rsidRPr="00806BB7">
        <w:rPr>
          <w:rFonts w:cs="Times New Roman"/>
          <w:bCs/>
          <w:szCs w:val="24"/>
          <w:lang w:val="en-CA"/>
        </w:rPr>
        <w:t xml:space="preserve"> performing a meta-analysis is</w:t>
      </w:r>
      <w:r w:rsidR="00A45577" w:rsidRPr="00806BB7">
        <w:rPr>
          <w:rFonts w:cs="Times New Roman"/>
          <w:bCs/>
          <w:szCs w:val="24"/>
          <w:lang w:val="en-CA"/>
        </w:rPr>
        <w:t xml:space="preserve"> </w:t>
      </w:r>
      <w:r w:rsidR="007E78E0" w:rsidRPr="00806BB7">
        <w:rPr>
          <w:rFonts w:cs="Times New Roman"/>
          <w:bCs/>
          <w:szCs w:val="24"/>
          <w:lang w:val="en-CA"/>
        </w:rPr>
        <w:t>that these discrepancies may be overcome in order to</w:t>
      </w:r>
      <w:r w:rsidR="00C409DF" w:rsidRPr="00806BB7">
        <w:rPr>
          <w:rFonts w:cs="Times New Roman"/>
          <w:bCs/>
          <w:szCs w:val="24"/>
          <w:lang w:val="en-CA"/>
        </w:rPr>
        <w:t xml:space="preserve"> more concisely quantify the relationship between </w:t>
      </w:r>
      <w:r w:rsidR="00A45577" w:rsidRPr="00806BB7">
        <w:rPr>
          <w:rFonts w:cs="Times New Roman"/>
          <w:bCs/>
          <w:szCs w:val="24"/>
          <w:lang w:val="en-CA"/>
        </w:rPr>
        <w:t xml:space="preserve">our </w:t>
      </w:r>
      <w:r w:rsidR="00C409DF" w:rsidRPr="00806BB7">
        <w:rPr>
          <w:rFonts w:cs="Times New Roman"/>
          <w:bCs/>
          <w:szCs w:val="24"/>
          <w:lang w:val="en-CA"/>
        </w:rPr>
        <w:t xml:space="preserve">constructs of interest. </w:t>
      </w:r>
      <w:r w:rsidRPr="00806BB7">
        <w:rPr>
          <w:rFonts w:cs="Times New Roman"/>
          <w:bCs/>
          <w:szCs w:val="24"/>
          <w:lang w:val="en-CA"/>
        </w:rPr>
        <w:t>The results from our meta-analysis</w:t>
      </w:r>
      <w:r w:rsidR="00C409DF" w:rsidRPr="00806BB7">
        <w:rPr>
          <w:rFonts w:cs="Times New Roman"/>
          <w:bCs/>
          <w:szCs w:val="24"/>
          <w:lang w:val="en-CA"/>
        </w:rPr>
        <w:t xml:space="preserve">, namely, </w:t>
      </w:r>
      <w:r w:rsidR="00DE288C" w:rsidRPr="00806BB7">
        <w:rPr>
          <w:rFonts w:cs="Times New Roman"/>
          <w:bCs/>
          <w:szCs w:val="24"/>
          <w:lang w:val="en-CA"/>
        </w:rPr>
        <w:t xml:space="preserve">that </w:t>
      </w:r>
      <w:r w:rsidR="007E78E0" w:rsidRPr="00806BB7">
        <w:rPr>
          <w:rFonts w:cs="Times New Roman"/>
          <w:bCs/>
          <w:szCs w:val="24"/>
          <w:lang w:val="en-CA"/>
        </w:rPr>
        <w:t xml:space="preserve">dyslexics </w:t>
      </w:r>
      <w:r w:rsidR="00A45577" w:rsidRPr="00806BB7">
        <w:rPr>
          <w:rFonts w:cs="Times New Roman"/>
          <w:bCs/>
          <w:szCs w:val="24"/>
          <w:lang w:val="en-CA"/>
        </w:rPr>
        <w:t xml:space="preserve">are </w:t>
      </w:r>
      <w:r w:rsidR="00A144CD">
        <w:rPr>
          <w:rFonts w:cs="Times New Roman"/>
          <w:bCs/>
          <w:szCs w:val="24"/>
          <w:lang w:val="en-CA"/>
        </w:rPr>
        <w:t>poorer than controls</w:t>
      </w:r>
      <w:r w:rsidR="00A144CD" w:rsidRPr="00806BB7">
        <w:rPr>
          <w:rFonts w:cs="Times New Roman"/>
          <w:bCs/>
          <w:szCs w:val="24"/>
          <w:lang w:val="en-CA"/>
        </w:rPr>
        <w:t xml:space="preserve"> </w:t>
      </w:r>
      <w:r w:rsidR="00A45577" w:rsidRPr="00806BB7">
        <w:rPr>
          <w:rFonts w:cs="Times New Roman"/>
          <w:bCs/>
          <w:szCs w:val="24"/>
          <w:lang w:val="en-CA"/>
        </w:rPr>
        <w:t>in their ability to anchor to frequently reoccurring stimuli should be considered evidence in support of the perceptual anchoring deficit hypothesis.</w:t>
      </w:r>
      <w:r w:rsidRPr="00806BB7">
        <w:rPr>
          <w:rFonts w:cs="Times New Roman"/>
          <w:bCs/>
          <w:szCs w:val="24"/>
          <w:lang w:val="en-CA"/>
        </w:rPr>
        <w:t xml:space="preserve"> </w:t>
      </w:r>
      <w:r w:rsidR="00A45577" w:rsidRPr="00806BB7">
        <w:rPr>
          <w:rFonts w:cs="Times New Roman"/>
          <w:bCs/>
          <w:szCs w:val="24"/>
          <w:lang w:val="en-CA"/>
        </w:rPr>
        <w:t>However,</w:t>
      </w:r>
      <w:r w:rsidRPr="00806BB7">
        <w:rPr>
          <w:rFonts w:cs="Times New Roman"/>
          <w:bCs/>
          <w:szCs w:val="24"/>
          <w:lang w:val="en-CA"/>
        </w:rPr>
        <w:t xml:space="preserve"> a statement on the methodological limitations of th</w:t>
      </w:r>
      <w:r w:rsidR="007D1663" w:rsidRPr="00806BB7">
        <w:rPr>
          <w:rFonts w:cs="Times New Roman"/>
          <w:bCs/>
          <w:szCs w:val="24"/>
          <w:lang w:val="en-CA"/>
        </w:rPr>
        <w:t xml:space="preserve">e included studies is required. </w:t>
      </w:r>
    </w:p>
    <w:p w14:paraId="7CBDE257" w14:textId="37464A3D" w:rsidR="00574F96" w:rsidRDefault="00884B52" w:rsidP="00574F96">
      <w:pPr>
        <w:contextualSpacing/>
        <w:rPr>
          <w:rFonts w:cs="Times New Roman"/>
          <w:bCs/>
          <w:szCs w:val="24"/>
          <w:lang w:val="en-CA"/>
        </w:rPr>
      </w:pPr>
      <w:r w:rsidRPr="00806BB7">
        <w:rPr>
          <w:rFonts w:cs="Times New Roman"/>
          <w:bCs/>
          <w:szCs w:val="24"/>
          <w:lang w:val="en-CA"/>
        </w:rPr>
        <w:t xml:space="preserve">First, although the measures used to investigate perceptual anchoring were theoretically informed, their outcomes are difficult to assess due to small sample sizes. Based on the use of </w:t>
      </w:r>
      <w:r w:rsidR="000007B8" w:rsidRPr="00806BB7">
        <w:rPr>
          <w:rFonts w:cs="Times New Roman"/>
          <w:bCs/>
          <w:szCs w:val="24"/>
          <w:lang w:val="en-CA"/>
        </w:rPr>
        <w:t>a mixed-design ANOVA with manipulated factors</w:t>
      </w:r>
      <w:r w:rsidRPr="00806BB7">
        <w:rPr>
          <w:rFonts w:cs="Times New Roman"/>
          <w:bCs/>
          <w:szCs w:val="24"/>
          <w:lang w:val="en-CA"/>
        </w:rPr>
        <w:t>, and assuming the researchers were interested in finding a moderate effect (</w:t>
      </w:r>
      <w:r w:rsidR="000007B8" w:rsidRPr="00806BB7">
        <w:rPr>
          <w:rFonts w:cs="Times New Roman"/>
          <w:bCs/>
          <w:i/>
          <w:szCs w:val="24"/>
          <w:lang w:val="en-CA"/>
        </w:rPr>
        <w:t>f</w:t>
      </w:r>
      <w:r w:rsidR="00D500B1" w:rsidRPr="00806BB7">
        <w:rPr>
          <w:rFonts w:cs="Times New Roman"/>
          <w:bCs/>
          <w:szCs w:val="24"/>
          <w:lang w:val="en-CA"/>
        </w:rPr>
        <w:t xml:space="preserve"> = 0.</w:t>
      </w:r>
      <w:r w:rsidR="000007B8" w:rsidRPr="00806BB7">
        <w:rPr>
          <w:rFonts w:cs="Times New Roman"/>
          <w:bCs/>
          <w:szCs w:val="24"/>
          <w:lang w:val="en-CA"/>
        </w:rPr>
        <w:t>25</w:t>
      </w:r>
      <w:r w:rsidRPr="00806BB7">
        <w:rPr>
          <w:rFonts w:cs="Times New Roman"/>
          <w:bCs/>
          <w:szCs w:val="24"/>
          <w:lang w:val="en-CA"/>
        </w:rPr>
        <w:t>) with an alpha level of</w:t>
      </w:r>
      <w:r w:rsidR="00D500B1" w:rsidRPr="00806BB7">
        <w:rPr>
          <w:rFonts w:cs="Times New Roman"/>
          <w:bCs/>
          <w:szCs w:val="24"/>
          <w:lang w:val="en-CA"/>
        </w:rPr>
        <w:t xml:space="preserve"> 0.05, a total sample size of 1</w:t>
      </w:r>
      <w:r w:rsidR="000007B8" w:rsidRPr="00806BB7">
        <w:rPr>
          <w:rFonts w:cs="Times New Roman"/>
          <w:bCs/>
          <w:szCs w:val="24"/>
          <w:lang w:val="en-CA"/>
        </w:rPr>
        <w:t>28</w:t>
      </w:r>
      <w:r w:rsidRPr="00806BB7">
        <w:rPr>
          <w:rFonts w:cs="Times New Roman"/>
          <w:bCs/>
          <w:szCs w:val="24"/>
          <w:lang w:val="en-CA"/>
        </w:rPr>
        <w:t xml:space="preserve"> (</w:t>
      </w:r>
      <w:r w:rsidR="000007B8" w:rsidRPr="00806BB7">
        <w:rPr>
          <w:rFonts w:cs="Times New Roman"/>
          <w:bCs/>
          <w:szCs w:val="24"/>
          <w:lang w:val="en-CA"/>
        </w:rPr>
        <w:t>64</w:t>
      </w:r>
      <w:r w:rsidR="0003673D" w:rsidRPr="00806BB7">
        <w:rPr>
          <w:rFonts w:cs="Times New Roman"/>
          <w:bCs/>
          <w:szCs w:val="24"/>
          <w:lang w:val="en-CA"/>
        </w:rPr>
        <w:t xml:space="preserve"> per </w:t>
      </w:r>
      <w:r w:rsidRPr="00806BB7">
        <w:rPr>
          <w:rFonts w:cs="Times New Roman"/>
          <w:bCs/>
          <w:szCs w:val="24"/>
          <w:lang w:val="en-CA"/>
        </w:rPr>
        <w:t>group</w:t>
      </w:r>
      <w:r w:rsidR="0003673D" w:rsidRPr="00806BB7">
        <w:rPr>
          <w:rFonts w:cs="Times New Roman"/>
          <w:bCs/>
          <w:szCs w:val="24"/>
          <w:lang w:val="en-CA"/>
        </w:rPr>
        <w:t>,</w:t>
      </w:r>
      <w:r w:rsidRPr="00806BB7">
        <w:rPr>
          <w:rFonts w:cs="Times New Roman"/>
          <w:bCs/>
          <w:szCs w:val="24"/>
          <w:lang w:val="en-CA"/>
        </w:rPr>
        <w:t xml:space="preserve"> </w:t>
      </w:r>
      <w:r w:rsidR="000007B8" w:rsidRPr="00806BB7">
        <w:rPr>
          <w:rFonts w:cs="Times New Roman"/>
          <w:bCs/>
          <w:szCs w:val="24"/>
          <w:lang w:val="en-CA"/>
        </w:rPr>
        <w:t>assuming</w:t>
      </w:r>
      <w:r w:rsidRPr="00806BB7">
        <w:rPr>
          <w:rFonts w:cs="Times New Roman"/>
          <w:bCs/>
          <w:szCs w:val="24"/>
          <w:lang w:val="en-CA"/>
        </w:rPr>
        <w:t xml:space="preserve"> two groups) would be required in order to achieve power o</w:t>
      </w:r>
      <w:r w:rsidR="00FC2E9D" w:rsidRPr="00806BB7">
        <w:rPr>
          <w:rFonts w:cs="Times New Roman"/>
          <w:bCs/>
          <w:szCs w:val="24"/>
          <w:lang w:val="en-CA"/>
        </w:rPr>
        <w:t xml:space="preserve">f 0.80 </w:t>
      </w:r>
      <w:r w:rsidR="00FC2E9D" w:rsidRPr="00806BB7">
        <w:rPr>
          <w:rFonts w:cs="Times New Roman"/>
          <w:szCs w:val="24"/>
        </w:rPr>
        <w:fldChar w:fldCharType="begin"/>
      </w:r>
      <w:r w:rsidR="00095E48" w:rsidRPr="00806BB7">
        <w:rPr>
          <w:rFonts w:cs="Times New Roman"/>
          <w:szCs w:val="24"/>
        </w:rPr>
        <w:instrText xml:space="preserve"> ADDIN ZOTERO_ITEM CSL_CITATION {"citationID":"UBW4NJ4U","properties":{"formattedCitation":"(Faul et al., 2007)","plainCitation":"(Faul et al., 2007)","dontUpdate":true,"noteIndex":0},"citationItems":[{"id":352,"uris":["http://zotero.org/users/6317667/items/MDW497PV"],"uri":["http://zotero.org/users/6317667/items/MDW497PV"],"itemData":{"id":352,"type":"article-journal","abstract":"G*Power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thet, F, and χ2 test families. In addition, it includes power analyses forz tests and some exact tests. G*Power 3 provides improved effect size calculators and graphic options, supports both distribution-based and design-based input modes, and offers all types of power analyses in which users might be interested. Like its predecessors, G*Power 3 is free.","container-title":"Behavior Research Methods","DOI":"10.3758/BF03193146","ISSN":"1554-3528","issue":"2","journalAbbreviation":"Behavior Research Methods","language":"en","page":"175-191","source":"Springer Link","title":"G*Power 3: A flexible statistical power analysis program for the social, behavioral, and biomedical sciences","title-short":"G*Power 3","volume":"39","author":[{"family":"Faul","given":"Franz"},{"family":"Erdfelder","given":"Edgar"},{"family":"Lang","given":"Albert-Georg"},{"family":"Buchner","given":"Axel"}],"issued":{"date-parts":[["2007",5,1]]}}}],"schema":"https://github.com/citation-style-language/schema/raw/master/csl-citation.json"} </w:instrText>
      </w:r>
      <w:r w:rsidR="00FC2E9D" w:rsidRPr="00806BB7">
        <w:rPr>
          <w:rFonts w:cs="Times New Roman"/>
          <w:szCs w:val="24"/>
        </w:rPr>
        <w:fldChar w:fldCharType="separate"/>
      </w:r>
      <w:r w:rsidR="00FC2E9D" w:rsidRPr="00806BB7">
        <w:rPr>
          <w:rFonts w:cs="Times New Roman"/>
          <w:szCs w:val="24"/>
        </w:rPr>
        <w:t>(G*Power 3; Faul et al., 2007)</w:t>
      </w:r>
      <w:r w:rsidR="00FC2E9D" w:rsidRPr="00806BB7">
        <w:rPr>
          <w:rFonts w:cs="Times New Roman"/>
          <w:szCs w:val="24"/>
        </w:rPr>
        <w:fldChar w:fldCharType="end"/>
      </w:r>
      <w:r w:rsidRPr="00806BB7">
        <w:rPr>
          <w:rFonts w:cs="Times New Roman"/>
          <w:bCs/>
          <w:szCs w:val="24"/>
          <w:lang w:val="en-CA"/>
        </w:rPr>
        <w:t>. That is, assuming there is a true difference between the average performances of the two groups, you would expect to find it 80% of the time</w:t>
      </w:r>
      <w:r w:rsidR="00903EDA">
        <w:rPr>
          <w:rFonts w:cs="Times New Roman"/>
          <w:bCs/>
          <w:szCs w:val="24"/>
          <w:lang w:val="en-CA"/>
        </w:rPr>
        <w:t xml:space="preserve"> </w:t>
      </w:r>
      <w:r w:rsidR="00903EDA">
        <w:rPr>
          <w:rFonts w:cs="Times New Roman"/>
          <w:bCs/>
          <w:szCs w:val="24"/>
          <w:lang w:val="en-CA"/>
        </w:rPr>
        <w:fldChar w:fldCharType="begin"/>
      </w:r>
      <w:r w:rsidR="00903EDA">
        <w:rPr>
          <w:rFonts w:cs="Times New Roman"/>
          <w:bCs/>
          <w:szCs w:val="24"/>
          <w:lang w:val="en-CA"/>
        </w:rPr>
        <w:instrText xml:space="preserve"> ADDIN ZOTERO_ITEM CSL_CITATION {"citationID":"MakEglaE","properties":{"formattedCitation":"(Cohen, 1992)","plainCitation":"(Cohen, 1992)","noteIndex":0},"citationItems":[{"id":363,"uris":["http://zotero.org/users/6317667/items/B9QU3HJD"],"uri":["http://zotero.org/users/6317667/items/B9QU3HJD"],"itemData":{"id":363,"type":"article-journal","abstract":"One possible reason for the continued neglect of statistical power analysis in research in the behavioral sciences is the inaccessibility of or difficulty with the standard material. A convenient, although not comprehensive, presentation of required sample sizes is provided here. Effect-size indexes and conventional values for these are given for operationally defined small, medium, and large effects. The sample sizes necessary for .80 power to detect effects at these levels are tabled for eight standard statistical tests: (a) the difference between independent means, (b) the significance of a product-moment correlation, (c) the difference between independent rs, (d) the sign test, (e) the difference between independent proportions, (f) chi-square tests for goodness of fit and contingency tables, (g) one-way analysis of variance, and (h) the significance of a multiple or multiple partial correlation.","container-title":"Psychological Bulletin","DOI":"10.1037//0033-2909.112.1.155","ISSN":"0033-2909","issue":"1","journalAbbreviation":"Psychol Bull","language":"eng","note":"PMID: 19565683","page":"155-159","source":"PubMed","title":"A power primer","volume":"112","author":[{"family":"Cohen","given":"Jacob"}],"issued":{"date-parts":[["1992",7]]}}}],"schema":"https://github.com/citation-style-language/schema/raw/master/csl-citation.json"} </w:instrText>
      </w:r>
      <w:r w:rsidR="00903EDA">
        <w:rPr>
          <w:rFonts w:cs="Times New Roman"/>
          <w:bCs/>
          <w:szCs w:val="24"/>
          <w:lang w:val="en-CA"/>
        </w:rPr>
        <w:fldChar w:fldCharType="separate"/>
      </w:r>
      <w:r w:rsidR="00903EDA" w:rsidRPr="00903EDA">
        <w:rPr>
          <w:rFonts w:cs="Times New Roman"/>
        </w:rPr>
        <w:t>(Cohen, 1992)</w:t>
      </w:r>
      <w:r w:rsidR="00903EDA">
        <w:rPr>
          <w:rFonts w:cs="Times New Roman"/>
          <w:bCs/>
          <w:szCs w:val="24"/>
          <w:lang w:val="en-CA"/>
        </w:rPr>
        <w:fldChar w:fldCharType="end"/>
      </w:r>
      <w:r w:rsidRPr="00806BB7">
        <w:rPr>
          <w:rFonts w:cs="Times New Roman"/>
          <w:bCs/>
          <w:szCs w:val="24"/>
          <w:lang w:val="en-CA"/>
        </w:rPr>
        <w:t>. A post hoc power analysis revealed that</w:t>
      </w:r>
      <w:r w:rsidR="0003673D" w:rsidRPr="00806BB7">
        <w:rPr>
          <w:rFonts w:cs="Times New Roman"/>
          <w:bCs/>
          <w:szCs w:val="24"/>
          <w:lang w:val="en-CA"/>
        </w:rPr>
        <w:t>,</w:t>
      </w:r>
      <w:r w:rsidRPr="00806BB7">
        <w:rPr>
          <w:rFonts w:cs="Times New Roman"/>
          <w:bCs/>
          <w:szCs w:val="24"/>
          <w:lang w:val="en-CA"/>
        </w:rPr>
        <w:t xml:space="preserve"> of the included studies, total sample sizes ranging from 31 – 93 achieved statistical power ranging from 0.34-0.79. Justifications for sample size limitations were provided in one study </w:t>
      </w:r>
      <w:r w:rsidR="00F94914" w:rsidRPr="00806BB7">
        <w:rPr>
          <w:rFonts w:cs="Times New Roman"/>
          <w:bCs/>
          <w:szCs w:val="24"/>
          <w:lang w:val="en-CA"/>
        </w:rPr>
        <w:fldChar w:fldCharType="begin"/>
      </w:r>
      <w:r w:rsidR="00095E48" w:rsidRPr="00806BB7">
        <w:rPr>
          <w:rFonts w:cs="Times New Roman"/>
          <w:bCs/>
          <w:szCs w:val="24"/>
          <w:lang w:val="en-CA"/>
        </w:rPr>
        <w:instrText xml:space="preserve"> ADDIN ZOTERO_ITEM CSL_CITATION {"citationID":"8auv4lBY","properties":{"formattedCitation":"(Daikhin et al., 2017)","plainCitation":"(Daikhin et al., 2017)","noteIndex":0},"citationItems":[{"id":284,"uris":["http://zotero.org/users/6317667/items/BRZNGX9J"],"uri":["http://zotero.org/users/6317667/items/BRZNGX9J"],"itemData":{"id":284,"type":"article-journal","abstract":"Purpose\n      The reading deficit for people with dyslexia is typically associated with linguistic,\n         memory, and perceptual-discrimination difficulties, whose relation to reading impairment\n         is disputed. We proposed that automatic detection and usage of serial sound regularities\n         for individuals with dyslexia is impaired (anchoring deficit hypothesis), leading\n         to the formation of less reliable sound predictions. Agus, Carrión-Castillo, Pressnitzer,\n         and Ramus, (2014) reported seemingly contradictory evidence by showing similar performance\n         by participants with and without dyslexia in a demanding auditory task that contained\n         task-relevant regularities. To carefully assess the sensitivity of participants with\n         dyslexia to regularities of this task, we replicated their study.\n      \n      \n      Method\n      Thirty participants with and 24 without dyslexia performed the replicated task. On\n         each trial, a 1-s noise stimulus was presented. Participants had to decide whether\n         the stimulus contained repetitions (was constructed from a 0.5-s noise segment repeated\n         twice) or not. It is implicit in this structure that some of the stimuli with repetitions\n         were themselves repeated across trials. We measured the ability to detect within-noise\n         repetitions and the sensitivity to cross-trial repetitions of the same noise stimuli.\n      \n      \n      Results\n      We replicated the finding of similar mean performance. However, individuals with dyslexia\n         were less sensitive to the cross-trial repetition of noise stimuli and tended to be\n         more sensitive to repetitions in novel noise stimuli.\n      \n      \n      Conclusion\n      These findings indicate that online auditory processing for individuals with dyslexia\n         is adequate but their implicit retention and usage of sound regularities is indeed\n         impaired.","container-title":"Journal of Speech, Language, and Hearing Research","DOI":"10.1044/2016_JSLHR-H-16-0114","issue":"2","journalAbbreviation":"Journal of Speech, Language, and Hearing Research","note":"publisher: American Speech-Language-Hearing Association","page":"471-479","source":"pubs-asha-org.simsrad.net.ocs.mq.edu.au (Atypon)","title":"Auditory Stimulus Processing and Task Learning Are Adequate in Dyslexia, but Benefits From Regularities Are Reduced","volume":"60","author":[{"family":"Daikhin","given":"Luba"},{"family":"Raviv","given":"Ofri"},{"family":"Ahissar","given":"Merav"}],"issued":{"date-parts":[["2017",2,1]]}}}],"schema":"https://github.com/citation-style-language/schema/raw/master/csl-citation.json"} </w:instrText>
      </w:r>
      <w:r w:rsidR="00F94914" w:rsidRPr="00806BB7">
        <w:rPr>
          <w:rFonts w:cs="Times New Roman"/>
          <w:bCs/>
          <w:szCs w:val="24"/>
          <w:lang w:val="en-CA"/>
        </w:rPr>
        <w:fldChar w:fldCharType="separate"/>
      </w:r>
      <w:r w:rsidR="00F94914" w:rsidRPr="00806BB7">
        <w:rPr>
          <w:rFonts w:cs="Times New Roman"/>
          <w:szCs w:val="24"/>
        </w:rPr>
        <w:t>(Daikhin et al., 2017)</w:t>
      </w:r>
      <w:r w:rsidR="00F94914" w:rsidRPr="00806BB7">
        <w:rPr>
          <w:rFonts w:cs="Times New Roman"/>
          <w:bCs/>
          <w:szCs w:val="24"/>
          <w:lang w:val="en-CA"/>
        </w:rPr>
        <w:fldChar w:fldCharType="end"/>
      </w:r>
      <w:r w:rsidRPr="00806BB7">
        <w:rPr>
          <w:rFonts w:cs="Times New Roman"/>
          <w:bCs/>
          <w:szCs w:val="24"/>
          <w:lang w:val="en-CA"/>
        </w:rPr>
        <w:t xml:space="preserve"> and no power analyses were </w:t>
      </w:r>
      <w:r w:rsidR="0003673D" w:rsidRPr="00806BB7">
        <w:rPr>
          <w:rFonts w:cs="Times New Roman"/>
          <w:bCs/>
          <w:szCs w:val="24"/>
          <w:lang w:val="en-CA"/>
        </w:rPr>
        <w:t>reported</w:t>
      </w:r>
      <w:r w:rsidRPr="00806BB7">
        <w:rPr>
          <w:rFonts w:cs="Times New Roman"/>
          <w:bCs/>
          <w:szCs w:val="24"/>
          <w:lang w:val="en-CA"/>
        </w:rPr>
        <w:t>. This concern is compounded by replication efforts of underpowered designs that suffer from identical flaws (i.e., underpowered studies conceptually replicating underpowered studies). Th</w:t>
      </w:r>
      <w:r w:rsidR="00FC2E9D" w:rsidRPr="00806BB7">
        <w:rPr>
          <w:rFonts w:cs="Times New Roman"/>
          <w:bCs/>
          <w:szCs w:val="24"/>
          <w:lang w:val="en-CA"/>
        </w:rPr>
        <w:t>e above example of achieving 0.80</w:t>
      </w:r>
      <w:r w:rsidRPr="00806BB7">
        <w:rPr>
          <w:rFonts w:cs="Times New Roman"/>
          <w:bCs/>
          <w:szCs w:val="24"/>
          <w:lang w:val="en-CA"/>
        </w:rPr>
        <w:t xml:space="preserve"> power may be incompatible with the </w:t>
      </w:r>
      <w:r w:rsidR="00AF694F">
        <w:rPr>
          <w:rFonts w:cs="Times New Roman"/>
          <w:bCs/>
          <w:szCs w:val="24"/>
          <w:lang w:val="en-CA"/>
        </w:rPr>
        <w:t>resources available to</w:t>
      </w:r>
      <w:r w:rsidRPr="00806BB7">
        <w:rPr>
          <w:rFonts w:cs="Times New Roman"/>
          <w:bCs/>
          <w:szCs w:val="24"/>
          <w:lang w:val="en-CA"/>
        </w:rPr>
        <w:t xml:space="preserve"> many researchers. However, specifying</w:t>
      </w:r>
      <w:r w:rsidR="00E0449C" w:rsidRPr="00806BB7">
        <w:rPr>
          <w:rFonts w:cs="Times New Roman"/>
          <w:bCs/>
          <w:szCs w:val="24"/>
          <w:lang w:val="en-CA"/>
        </w:rPr>
        <w:t xml:space="preserve"> and reporting</w:t>
      </w:r>
      <w:r w:rsidRPr="00806BB7">
        <w:rPr>
          <w:rFonts w:cs="Times New Roman"/>
          <w:bCs/>
          <w:szCs w:val="24"/>
          <w:lang w:val="en-CA"/>
        </w:rPr>
        <w:t xml:space="preserve"> the smallest effect size, and subsequent sample size, that still supports a hypothesis of interest aids the broader research community in evaluating and weighting experimental findings </w:t>
      </w:r>
      <w:r w:rsidR="00DD1DDB" w:rsidRPr="00806BB7">
        <w:rPr>
          <w:rFonts w:cs="Times New Roman"/>
          <w:bCs/>
          <w:szCs w:val="24"/>
          <w:lang w:val="en-CA"/>
        </w:rPr>
        <w:fldChar w:fldCharType="begin"/>
      </w:r>
      <w:r w:rsidR="00095E48" w:rsidRPr="00806BB7">
        <w:rPr>
          <w:rFonts w:cs="Times New Roman"/>
          <w:bCs/>
          <w:szCs w:val="24"/>
          <w:lang w:val="en-CA"/>
        </w:rPr>
        <w:instrText xml:space="preserve"> ADDIN ZOTERO_ITEM CSL_CITATION {"citationID":"BS0U8HPQ","properties":{"formattedCitation":"(Dienes, 2008; Goertzen &amp; Cribbie, 2010; Harms &amp; Lakens, 2018; Lakens, 2013)","plainCitation":"(Dienes, 2008; Goertzen &amp; Cribbie, 2010; Harms &amp; Lakens, 2018; Lakens, 2013)","noteIndex":0},"citationItems":[{"id":350,"uris":["http://zotero.org/users/6317667/items/6SQ3FH32"],"uri":["http://zotero.org/users/6317667/items/6SQ3FH32"],"itemData":{"id":350,"type":"book","publisher":"Macmillan International Higher Education","title":"Understanding psychology as a science: An introduction to scientific and statistical inference","author":[{"family":"Dienes","given":"Zoltan"}],"issued":{"date-parts":[["2008"]]}}},{"id":246,"uris":["http://zotero.org/users/6317667/items/NHZJWV7Y"],"uri":["http://zotero.org/users/6317667/items/NHZJWV7Y"],"itemData":{"id":246,"type":"article-journal","abstract":"Researchers often test for a lack of association between variables. A lack of association is usually established by demonstrating a non-significant relationship with a traditional test (e.g., Pearson's r). However, for logical as well as statistical reasons, such conclusions are problematic. In this paper, we discuss and compare the empirical Type I error and power rates of three lack of association tests. The results indicate that large, sometimes very large, sample sizes are required for the test statistics to be appropriate. What is especially problematic is that the required sample sizes may exceed what is practically feasible for the conditions that are expected to be common among researchers in psychology. This paper highlights the importance of using available lack of association tests, instead of traditional tests of association, for demonstrating the independence of variables, and qualifies the conditions under which these tests are appropriate.;","archive_location":"20030968","container-title":"The British Journal Of Mathematical And Statistical Psychology","DOI":"10.1348/000711009X475853","ISSN":"0007-1102","issue":"Pt 3","journalAbbreviation":"The British Journal Of Mathematical And Statistical Psychology","note":"publisher-place: England\npublisher: Wiley-Blackwell","page":"527-537","source":"EBSCOhost","title":"Detecting a lack of association: an equivalence testing approach","title-short":"Detecting a lack of association","volume":"63","author":[{"family":"Goertzen","given":"Jason R"},{"family":"Cribbie","given":"Robert A"}],"issued":{"date-parts":[["2010",11]]}}},{"id":351,"uris":["http://zotero.org/users/6317667/items/7TP7WGQB"],"uri":["http://zotero.org/users/6317667/items/7TP7WGQB"],"itemData":{"id":351,"type":"article-journal","container-title":"Journal of clinical and translational research","issue":"Suppl 2","note":"publisher: Whioce Publishing Pte. Ltd.","page":"382","title":"Making'null effects' informative: statistical techniques and inferential frameworks","volume":"3","author":[{"family":"Harms","given":"Christopher"},{"family":"Lakens","given":"Daniël"}],"issued":{"date-parts":[["2018"]]}}},{"id":58,"uris":["http://zotero.org/users/6317667/items/TPSLMR2F"],"uri":["http://zotero.org/users/6317667/items/TPSLMR2F"],"itemData":{"id":58,"type":"article-journal","container-title":"Frontiers in Psychology","ISSN":"1664-1078","page":"1-12","title":"Calculating and reporting effect sizes to facilitate cumulative science : a practical primer for t-tests and ANOVAs","volume":"4","author":[{"family":"Lakens","given":"D."}],"editor":[{"family":"Human Technology","given":"Interaction"}],"issued":{"date-parts":[["2013"]]}}}],"schema":"https://github.com/citation-style-language/schema/raw/master/csl-citation.json"} </w:instrText>
      </w:r>
      <w:r w:rsidR="00DD1DDB" w:rsidRPr="00806BB7">
        <w:rPr>
          <w:rFonts w:cs="Times New Roman"/>
          <w:bCs/>
          <w:szCs w:val="24"/>
          <w:lang w:val="en-CA"/>
        </w:rPr>
        <w:fldChar w:fldCharType="separate"/>
      </w:r>
      <w:r w:rsidR="00DD1DDB" w:rsidRPr="00806BB7">
        <w:rPr>
          <w:rFonts w:cs="Times New Roman"/>
          <w:szCs w:val="24"/>
        </w:rPr>
        <w:t xml:space="preserve">(Dienes, 2008; Goertzen &amp; Cribbie, 2010; Harms &amp; Lakens, 2018; </w:t>
      </w:r>
      <w:r w:rsidR="00DD1DDB" w:rsidRPr="00806BB7">
        <w:rPr>
          <w:rFonts w:cs="Times New Roman"/>
          <w:szCs w:val="24"/>
        </w:rPr>
        <w:lastRenderedPageBreak/>
        <w:t>Lakens, 2013)</w:t>
      </w:r>
      <w:r w:rsidR="00DD1DDB" w:rsidRPr="00806BB7">
        <w:rPr>
          <w:rFonts w:cs="Times New Roman"/>
          <w:bCs/>
          <w:szCs w:val="24"/>
          <w:lang w:val="en-CA"/>
        </w:rPr>
        <w:fldChar w:fldCharType="end"/>
      </w:r>
      <w:r w:rsidRPr="00806BB7">
        <w:rPr>
          <w:rFonts w:cs="Times New Roman"/>
          <w:bCs/>
          <w:szCs w:val="24"/>
          <w:lang w:val="en-CA"/>
        </w:rPr>
        <w:t>. Recently, practical efforts have been made to help develop statistical inferences following null findings such as by the use of equivalence testing and Bayes Factors</w:t>
      </w:r>
      <w:r w:rsidR="00E0449C" w:rsidRPr="00806BB7">
        <w:rPr>
          <w:rFonts w:cs="Times New Roman"/>
          <w:bCs/>
          <w:szCs w:val="24"/>
          <w:lang w:val="en-CA"/>
        </w:rPr>
        <w:t xml:space="preserve"> </w:t>
      </w:r>
      <w:r w:rsidR="00DD1DDB" w:rsidRPr="00806BB7">
        <w:rPr>
          <w:rFonts w:cs="Times New Roman"/>
          <w:bCs/>
          <w:szCs w:val="24"/>
          <w:lang w:val="en-CA"/>
        </w:rPr>
        <w:fldChar w:fldCharType="begin"/>
      </w:r>
      <w:r w:rsidR="00095E48" w:rsidRPr="00806BB7">
        <w:rPr>
          <w:rFonts w:cs="Times New Roman"/>
          <w:bCs/>
          <w:szCs w:val="24"/>
          <w:lang w:val="en-CA"/>
        </w:rPr>
        <w:instrText xml:space="preserve"> ADDIN ZOTERO_ITEM CSL_CITATION {"citationID":"mKPVEJiy","properties":{"formattedCitation":"(Lakens et al., 2018, 2020)","plainCitation":"(Lakens et al., 2018, 2020)","noteIndex":0},"citationItems":[{"id":249,"uris":["http://zotero.org/users/6317667/items/XYDBE75F"],"uri":["http://zotero.org/users/6317667/items/XYDBE75F"],"itemData":{"id":249,"type":"webpage","title":"Equivalence Testing for Psychological Research: A Tutorial","URL":"https://journals-sagepub-com.simsrad.net.ocs.mq.edu.au/doi/full/10.1177/2515245918770963","author":[{"family":"Lakens","given":"D."},{"family":"Scheel","given":"A. M."},{"family":"Isagar","given":"P. M"}],"accessed":{"date-parts":[["2020",3,19]]},"issued":{"date-parts":[["2018"]]}}},{"id":248,"uris":["http://zotero.org/users/6317667/items/WAW5N5JD"],"uri":["http://zotero.org/users/6317667/items/WAW5N5JD"],"itemData":{"id":248,"type":"article-journal","abstract":"Abstract.  Researchers often conclude an effect is absent when a null-hypothesis significance test yields a nonsignificant p value. However, it is neither logic","container-title":"The Journals of Gerontology: Series B","DOI":"10.1093/geronb/gby065","ISSN":"1079-5014","issue":"1","journalAbbreviation":"J Gerontol B Psychol Sci Soc Sci","language":"en","note":"publisher: Oxford Academic","page":"45-57","source":"academic-oup-com.simsrad.net.ocs.mq.edu.au","title":"Improving Inferences About Null Effects With Bayes Factors and Equivalence Tests","volume":"75","author":[{"family":"Lakens","given":"D"},{"family":"McLatchie","given":"Neil"},{"family":"Isager","given":"Peder M."},{"family":"Scheel","given":"Anne M."},{"family":"Dienes","given":"Zoltan"}],"issued":{"date-parts":[["2020",1,1]]}}}],"schema":"https://github.com/citation-style-language/schema/raw/master/csl-citation.json"} </w:instrText>
      </w:r>
      <w:r w:rsidR="00DD1DDB" w:rsidRPr="00806BB7">
        <w:rPr>
          <w:rFonts w:cs="Times New Roman"/>
          <w:bCs/>
          <w:szCs w:val="24"/>
          <w:lang w:val="en-CA"/>
        </w:rPr>
        <w:fldChar w:fldCharType="separate"/>
      </w:r>
      <w:r w:rsidR="00DD1DDB" w:rsidRPr="00806BB7">
        <w:rPr>
          <w:rFonts w:cs="Times New Roman"/>
          <w:szCs w:val="24"/>
        </w:rPr>
        <w:t>(Lakens et al., 2018, 2020)</w:t>
      </w:r>
      <w:r w:rsidR="00DD1DDB" w:rsidRPr="00806BB7">
        <w:rPr>
          <w:rFonts w:cs="Times New Roman"/>
          <w:bCs/>
          <w:szCs w:val="24"/>
          <w:lang w:val="en-CA"/>
        </w:rPr>
        <w:fldChar w:fldCharType="end"/>
      </w:r>
      <w:r w:rsidRPr="00806BB7">
        <w:rPr>
          <w:rFonts w:cs="Times New Roman"/>
          <w:bCs/>
          <w:szCs w:val="24"/>
          <w:lang w:val="en-CA"/>
        </w:rPr>
        <w:t>. The application of such techniques would allow for a more robust interpretation of null findings and would aid in further specifying the extent and nature of perceptual anchoring deficits in subgroups of the dyslexia population.</w:t>
      </w:r>
    </w:p>
    <w:p w14:paraId="272D59CD" w14:textId="44D47D7A" w:rsidR="00787848" w:rsidRPr="00574F96" w:rsidRDefault="00787848" w:rsidP="00574F96">
      <w:pPr>
        <w:contextualSpacing/>
        <w:rPr>
          <w:szCs w:val="24"/>
        </w:rPr>
      </w:pPr>
      <w:r w:rsidRPr="00806BB7">
        <w:rPr>
          <w:rFonts w:cs="Times New Roman"/>
          <w:bCs/>
          <w:szCs w:val="24"/>
          <w:lang w:val="en-CA"/>
        </w:rPr>
        <w:t xml:space="preserve">Second, a criticism of the anchoring deficit hypothesis is that such a univariate account of impairment is unable to adequately address the highly heterogeneous presentation of deficits in the dyslexia population </w:t>
      </w:r>
      <w:r w:rsidRPr="00806BB7">
        <w:rPr>
          <w:rFonts w:cs="Times New Roman"/>
          <w:bCs/>
          <w:szCs w:val="24"/>
          <w:lang w:val="en-CA"/>
        </w:rPr>
        <w:fldChar w:fldCharType="begin"/>
      </w:r>
      <w:r w:rsidRPr="00806BB7">
        <w:rPr>
          <w:rFonts w:cs="Times New Roman"/>
          <w:bCs/>
          <w:szCs w:val="24"/>
          <w:lang w:val="en-CA"/>
        </w:rPr>
        <w:instrText xml:space="preserve"> ADDIN ZOTERO_ITEM CSL_CITATION {"citationID":"3DBsmjmL","properties":{"formattedCitation":"(Wijnen et al., 2012)","plainCitation":"(Wijnen et al., 2012)","noteIndex":0},"citationItems":[{"id":35,"uris":["http://zotero.org/users/6317667/items/RNLQW3DM"],"uri":["http://zotero.org/users/6317667/items/RNLQW3DM"],"itemData":{"id":35,"type":"article-journal","abstract":"A recent hypothesis ascribes dyslexia to a perceptual anchoring deficit. Supporting results have so far been obtained only in children with dyslexia and additional learning difficulties, but the hypothesis has been argued to apply to all individuals with dyslexia. The authors measured auditory frequency discrimination thresholds in 54 young adults (native speakers of Dutch\n25 individuals with dyslexia\n29 age- and education-matched controls), with a 2-alternative forced-choice staircase paradigm. There were 2 conditions: 1 in which 1 tone in each pair had a fixed frequency across trials (standard), and 1 in which both tones varied in frequency (no standard). Presence of a standard stimulus allows the creation of a stimulus-specific representation in short-termmemory (perceptual anchor). The standard condition yielded significantly lower discrimination thresholds in both controls and individuals with dyslexia\nboth groups benefited equally from the presence of an invariant stimulus. There is no difference between this group of adults with dyslexia and controls in their capacity to form a perceptual anchor. The implication is that an anchoring deficit cannot be generalized to all cases of dyslexia.","container-title":"Journal of Speech, Language and Hearing Research (Online)","DOI":"10.1044/1092-4388(2012/10-0302)","ISSN":"10924388","issue":"5","page":"1387-1394","title":"Auditory Frequency Discrimination in Adults With Dyslexia: A Test of the Anchoring Hypothesis","volume":"55","author":[{"family":"Wijnen","given":"Frank"},{"family":"Kappers","given":"Astrid"},{"family":"Vlutters","given":"Leoni"},{"family":"Winkel","given":"Sven"}],"issued":{"date-parts":[["2012"]]}}}],"schema":"https://github.com/citation-style-language/schema/raw/master/csl-citation.json"} </w:instrText>
      </w:r>
      <w:r w:rsidRPr="00806BB7">
        <w:rPr>
          <w:rFonts w:cs="Times New Roman"/>
          <w:bCs/>
          <w:szCs w:val="24"/>
          <w:lang w:val="en-CA"/>
        </w:rPr>
        <w:fldChar w:fldCharType="separate"/>
      </w:r>
      <w:r w:rsidRPr="00806BB7">
        <w:rPr>
          <w:rFonts w:cs="Times New Roman"/>
          <w:szCs w:val="24"/>
        </w:rPr>
        <w:t>(Wijnen et al., 2012)</w:t>
      </w:r>
      <w:r w:rsidRPr="00806BB7">
        <w:rPr>
          <w:rFonts w:cs="Times New Roman"/>
          <w:bCs/>
          <w:szCs w:val="24"/>
          <w:lang w:val="en-CA"/>
        </w:rPr>
        <w:fldChar w:fldCharType="end"/>
      </w:r>
      <w:r>
        <w:rPr>
          <w:rFonts w:cs="Times New Roman"/>
          <w:bCs/>
          <w:szCs w:val="24"/>
          <w:lang w:val="en-CA"/>
        </w:rPr>
        <w:t xml:space="preserve">. </w:t>
      </w:r>
      <w:r w:rsidR="00D01A7E" w:rsidRPr="00806BB7">
        <w:rPr>
          <w:szCs w:val="24"/>
        </w:rPr>
        <w:t xml:space="preserve">One response to the heterogeneity of word-reading difficulties within the dyslexia population has been through subtyping. Subtyping relies on a combination of theoretical accounts used to describe the cognitive disruptions that may lead to variable word-reading difficulties </w:t>
      </w:r>
      <w:r w:rsidR="00D01A7E" w:rsidRPr="00806BB7">
        <w:rPr>
          <w:rFonts w:cs="Times New Roman"/>
          <w:szCs w:val="24"/>
          <w:lang w:val="en-US"/>
        </w:rPr>
        <w:fldChar w:fldCharType="begin"/>
      </w:r>
      <w:r w:rsidR="00D01A7E" w:rsidRPr="00806BB7">
        <w:rPr>
          <w:rFonts w:cs="Times New Roman"/>
          <w:szCs w:val="24"/>
          <w:lang w:val="en-US"/>
        </w:rPr>
        <w:instrText xml:space="preserve"> ADDIN ZOTERO_ITEM CSL_CITATION {"citationID":"bkIqpdrj","properties":{"formattedCitation":"(Castles &amp; Coltheart, 1993; McArthur et al., 2013; Parrila et al., 2017; Peterson et al., 2013; Ziegler et al., 2008; Zoubrinetzky et al., 2014)","plainCitation":"(Castles &amp; Coltheart, 1993; McArthur et al., 2013; Parrila et al., 2017; Peterson et al., 2013; Ziegler et al., 2008; Zoubrinetzky et al., 2014)","dontUpdate":true,"noteIndex":0},"citationItems":[{"id":280,"uris":["http://zotero.org/users/6317667/items/HZ5V3Y6V"],"uri":["http://zotero.org/users/6317667/items/HZ5V3Y6V"],"itemData":{"id":280,"type":"article-journal","abstract":"This paper reviews and evaluates the evidence for the existence of distinct varieties of developmental dyslexia, analogous to those found in the acquired dyslexic population. Models of the normal adult reading process and of the development of reading in children are used to provide a framework for considering the issues. Data from a large-sample study of the reading patterns of developmental dyslexics are then reported. The lexical and sublexical reading skills of 56 developmental dyslexics were assessed through close comaprison with the skills of 56 normally developing readers. The results indicate that there are at least two varieities of developmental dyslexia, the first of which is characterized by a specific difficulty using the lexical procedure, and the second by a difficulty using the sublexical procedure. These subtypes are apparently not rare, but are relatively prevalent in the developmental dyslexic population. The results of a second experiment, which suggest that neither of these reading patterns can be accounted for in terms of a general language disorder,a re then reported.","container-title":"Cognition","DOI":"10.1016/0010-0277(93)90003-E","ISSN":"0010-0277","issue":"2","journalAbbreviation":"Cognition","language":"en","page":"149-180","source":"ScienceDirect","title":"Varieties of developmental dyslexia","volume":"47","author":[{"family":"Castles","given":"Anne"},{"family":"Coltheart","given":"Max"}],"issued":{"date-parts":[["1993",5,1]]}}},{"id":60,"uris":["http://zotero.org/users/6317667/items/UXLNV8ED"],"uri":["http://zotero.org/users/6317667/items/UXLNV8ED"],"itemData":{"id":60,"type":"article-journal","abstract":"&lt;p&gt;The aim of this study was to better understand the heterogeneity of developmental dyslexia by identifying the most common deficits in the reading systems of children with dyslexia with different poor word reading profiles. We classified the word reading profiles of 138 children with developmental dyslexia using nonword and irregular-word reading tests and then used independent experimental tests to explore the cognitive deficits within their word reading systems. The most common deficit associated with primary sublexical impairment (i.e., poor nonword reading) was poor grapheme-phoneme conversion (GPC) knowledge. The most common deficits associated with primary lexical impairment (i.e., poor irregular-word reading) were an impaired orthographic lexicon plus impaired links between this lexicon and the phonological lexicon and semantic knowledge. Finally, the most common deficits associated with mixed reading impairment (i.e., poor nonword reading and poor irregular-word reading) were poor GPC knowledge, an impaired orthographic lexicon, poor links between this lexicon and the phonological lexicon and semantic knowledge, and poor phonological output. We discuss the implications of these findings for theories of reading and for the diagnosis and treatment of dyslexia.&lt;/p&gt;","container-title":"Cognitive Neuropsychology","DOI":"10.1080/02643294.2013.784192","ISSN":"0264-3294","issue":"1","page":"1-24","title":"Getting to grips with the heterogeneity of developmental dyslexia","volume":"30","author":[{"family":"McArthur","given":"Genevieve"},{"family":"Kohnen","given":"Saskia"},{"family":"Larsen","given":"Linda"},{"family":"Jones","given":"Kristy"},{"family":"Anandakumar","given":"Thushara"},{"family":"Banales","given":"Erin"},{"family":"Castles","given":"Anne"}],"issued":{"date-parts":[["2013"]]}}},{"id":333,"uris":["http://zotero.org/users/6317667/items/LLVLFU6P"],"uri":["http://zotero.org/users/6317667/items/LLVLFU6P"],"itemData":{"id":333,"type":"book","abstract":"The use of printed words to capture language is one of the most remarkable inventions of humankind, and learning to read them is one of the most remarkable achievements of individuals. In recent decades, how we learn to read and understand printed text has been studied intensely in genetics, education, psychology, and cognitive science, and both the volume of research papers and breadth of the topics they examine have increased exponentially. Theories of Reading Development collects within a single volume state-of-the-art descriptions of important theories of reading development and disabilities. The included chapters focus on multiple aspects of reading development and are written by leading experts in the field. Each chapter is an independent theoretical review of the topic to which the authors have made a significant contribution and can be enjoyed on its own, or in relation to others in the book. The volume is written for professionals, graduate students, and researchers in education, psychology, and cognitive neuroscience. It can be used either as a core or as a supplementary text in senior undergraduate and graduate education and psychology courses focusing on reading development.","collection-title":"Studies in Written Language and Literacy","event-place":"Amsterdam","ISBN":"978-90-272-1811-7","language":"English","note":"issue: Vol. 15","publisher":"John Benjamins Publishing Company","publisher-place":"Amsterdam","source":"EBSCOhost","title":"Theories of Reading Development","URL":"http://simsrad.net.ocs.mq.edu.au/login?url=https://search.ebscohost.com/login.aspx?direct=true&amp;db=nlebk&amp;AN=1572178&amp;site=ehost-live","author":[{"family":"Parrila","given":"Rauno K."},{"family":"Cain","given":"Kate"},{"family":"Compton","given":"Donald L."}],"accessed":{"date-parts":[["2020",6,2]]},"issued":{"date-parts":[["2017"]]}}},{"id":425,"uris":["http://zotero.org/users/6317667/items/LK3LURMV"],"uri":["http://zotero.org/users/6317667/items/LK3LURMV"],"itemData":{"id":425,"type":"article-journal","abstract":"We investigated the phonological and surface subtypes of developmental dyslexia in light of competing predictions made by two computational models of single word reading, the Dual-Route Cascaded Model (DRC; Coltheart, Rastle, Perry, Langdon, &amp; Ziegler, 2001) and Harm and Seidenberg’s connectionist model (HS model; Harm &amp; Seidenberg, 1999). The regression-outlier procedure was applied to a large sample to identify children with disproportionately poor phonological coding skills (phonological dyslexia) or disproportionately poor orthographic coding skills (surface dyslexia). Consistent with the predictions of the HS model, children with “pure” phonological dyslexia, who did not have orthographic deficits, had milder phonological impairments than children with “relative” phonological dyslexia, who did have secondary orthographic deficits. In addition, pure cases of dyslexia were more common among older children. Consistent with the predictions of the DRC model, surface dyslexia was not well conceptualized as a reading delay; both phonological and surface dyslexia were associated with patterns of developmental deviance. In addition, some results were problematic for both models. We identified a small number of individuals with severe phonological dyslexia, relatively intact orthographic coding skills, and very poor real word reading. Further, a subset of controls could read normally despite impaired orthographic coding. The findings are discussed in terms of improvements to both models that might help better account for all cases of developmental dyslexia.","container-title":"Cognition","DOI":"10.1016/j.cognition.2012.08.007","ISSN":"0010-0277","issue":"1","journalAbbreviation":"Cognition","language":"en","page":"20-38","source":"ScienceDirect","title":"Subtypes of developmental dyslexia: Testing the predictions of the dual-route and connectionist frameworks","title-short":"Subtypes of developmental dyslexia","volume":"126","author":[{"family":"Peterson","given":"Robin L."},{"family":"Pennington","given":"Bruce F."},{"family":"Olson","given":"Richard K."}],"issued":{"date-parts":[["2013",1,1]]}}},{"id":428,"uris":["http://zotero.org/users/6317667/items/HIMDTL2C"],"uri":["http://zotero.org/users/6317667/items/HIMDTL2C"],"itemData":{"id":428,"type":"article-journal","abstract":"Developmental dyslexia was investigated within a well-understood and fully specified computational model of reading aloud: the dual route cascaded model (DRC [Coltheart, M., Rastle, K., Perry, C., Langdon, R., &amp; Ziegler, J.C. (2001). DRC: A dual route cascaded model of visual word recognition and reading aloud. Psychological Review, 108, 204–256.]). Four tasks were designed to assess each representational level of the DRC: letter level, orthographic lexicon, phonological lexicon, and phoneme system. The data showed no single cause of dyslexia, but rather a complex pattern of phonological, phonemic, and letter processing deficits. Importantly, most dyslexics had deficits in more than one domain. Subtyping analyses also suggested that both the phonological and surface dyslexics almost always had more than a single underlying deficit. To simulate the reading performance for each individual with the DRC, we added noise to the model at a level proportional to the underlying deficit(s) of each individual. The simulations not only accounted fairly well for individual reading patterns but also captured the different dyslexia profiles discussed in the literature (i.e., surface, phonological, mixed, and mild dyslexia). Thus, taking into account the multiplicity of underlying deficits on an individual basis provides a parsimonious and accurate description of developmental dyslexia. The present work highlights the necessity and merits of investigating dyslexia at the level of each individual rather than as a unitary disorder.","container-title":"Cognition","DOI":"10.1016/j.cognition.2007.09.004","ISSN":"0010-0277","issue":"1","journalAbbreviation":"Cognition","language":"en","page":"151-178","source":"ScienceDirect","title":"Developmental dyslexia and the dual route model of reading: Simulating individual differences and subtypes","title-short":"Developmental dyslexia and the dual route model of reading","volume":"107","author":[{"family":"Ziegler","given":"Johannes C."},{"family":"Castel","given":"Caroline"},{"family":"Pech-Georgel","given":"Catherine"},{"family":"George","given":"Florence"},{"family":"Alario","given":"F-Xavier"},{"family":"Perry","given":"Conrad"}],"issued":{"date-parts":[["2008",4,1]]}}},{"id":430,"uris":["http://zotero.org/users/6317667/items/PGS968MS"],"uri":["http://zotero.org/users/6317667/items/PGS968MS"],"itemData":{"id":430,"type":"article-journal","abstract":"We examined whether classifications based on reading performance are relevant to identify cognitively homogeneous subgroups of dyslexic children. Each of the 71 dyslexic participants was selected to have a mixed reading profile, i.e. poor irregular word and pseudo-word reading performance (accuracy and speed). Despite their homogeneous reading profile, the participants were found to split into four distinct cognitive subgroups, characterized by a single phonological disorder, a single visual attention span disorder, a double deficit or none of these disorders. The two subgroups characterized by single and contrasted cognitive disorders were found to exhibit a very similar reading pattern but more contrasted spelling performance (quantitative analysis). A qualitative analysis of the error types produced in reading and spelling provided some cues about the participants' underlying cognitive deficit. The overall findings disqualify subtyping based on reading profiles as a classification method to identify cognitively homogeneous subgroups of dyslexic children. They rather show an opaque relationship between the cognitive underpinnings of developmental dyslexia and their behavioral manifestations in reading and spelling. Future neuroimaging and genetic studies should take this issue into account since synthesizing over cognitively heterogeneous children would entail potential pitfalls.","container-title":"PLOS ONE","DOI":"10.1371/journal.pone.0099337","ISSN":"1932-6203","issue":"6","journalAbbreviation":"PLOS ONE","language":"en","note":"publisher: Public Library of Science","page":"e99337","source":"PLoS Journals","title":"New Insights on Developmental Dyslexia Subtypes: Heterogeneity of Mixed Reading Profiles","title-short":"New Insights on Developmental Dyslexia Subtypes","volume":"9","author":[{"family":"Zoubrinetzky","given":"Rachel"},{"family":"Bielle","given":"Frédérique"},{"family":"Valdois","given":"Sylviane"}],"issued":{"date-parts":[["2014",6,11]]}}}],"schema":"https://github.com/citation-style-language/schema/raw/master/csl-citation.json"} </w:instrText>
      </w:r>
      <w:r w:rsidR="00D01A7E" w:rsidRPr="00806BB7">
        <w:rPr>
          <w:rFonts w:cs="Times New Roman"/>
          <w:szCs w:val="24"/>
          <w:lang w:val="en-US"/>
        </w:rPr>
        <w:fldChar w:fldCharType="separate"/>
      </w:r>
      <w:r w:rsidR="00D01A7E" w:rsidRPr="00806BB7">
        <w:rPr>
          <w:rFonts w:cs="Times New Roman"/>
          <w:szCs w:val="24"/>
        </w:rPr>
        <w:t>(Castles &amp; Coltheart, 1993;</w:t>
      </w:r>
      <w:r w:rsidR="00D01A7E" w:rsidRPr="00806BB7">
        <w:rPr>
          <w:szCs w:val="24"/>
        </w:rPr>
        <w:t xml:space="preserve"> Friedmann &amp; Coltheart, 2018;</w:t>
      </w:r>
      <w:r w:rsidR="00D01A7E" w:rsidRPr="00806BB7">
        <w:rPr>
          <w:rFonts w:cs="Times New Roman"/>
          <w:szCs w:val="24"/>
        </w:rPr>
        <w:t xml:space="preserve"> McArthur et al., 2013; Parrila et al., 2017; Peterson et al., 2013; Ziegler et al., 2008; Zoubrinetzky et al., 2014)</w:t>
      </w:r>
      <w:r w:rsidR="00D01A7E" w:rsidRPr="00806BB7">
        <w:rPr>
          <w:rFonts w:cs="Times New Roman"/>
          <w:szCs w:val="24"/>
          <w:lang w:val="en-US"/>
        </w:rPr>
        <w:fldChar w:fldCharType="end"/>
      </w:r>
      <w:r w:rsidR="00D01A7E" w:rsidRPr="00806BB7">
        <w:rPr>
          <w:rFonts w:cs="Times New Roman"/>
          <w:szCs w:val="24"/>
          <w:lang w:val="en-US"/>
        </w:rPr>
        <w:t xml:space="preserve">. Subtypes include: letter position dyslexia, expressed as migrations of letters within words </w:t>
      </w:r>
      <w:r w:rsidR="00D01A7E" w:rsidRPr="00806BB7">
        <w:rPr>
          <w:rFonts w:cs="Times New Roman"/>
          <w:szCs w:val="24"/>
          <w:lang w:val="en-US"/>
        </w:rPr>
        <w:fldChar w:fldCharType="begin"/>
      </w:r>
      <w:r w:rsidR="00D01A7E" w:rsidRPr="00806BB7">
        <w:rPr>
          <w:rFonts w:cs="Times New Roman"/>
          <w:szCs w:val="24"/>
          <w:lang w:val="en-US"/>
        </w:rPr>
        <w:instrText xml:space="preserve"> ADDIN ZOTERO_ITEM CSL_CITATION {"citationID":"dh7RtSq5","properties":{"formattedCitation":"(Friedmann &amp; Rahamim, 2007; Kezilas et al., 2014; Kohnen et al., 2012)","plainCitation":"(Friedmann &amp; Rahamim, 2007; Kezilas et al., 2014; Kohnen et al., 2012)","dontUpdate":true,"noteIndex":0},"citationItems":[{"id":442,"uris":["http://zotero.org/users/6317667/items/PDHUUYER"],"uri":["http://zotero.org/users/6317667/items/PDHUUYER"],"itemData":{"id":442,"type":"article-journal","abstract":"Letter position dyslexia (LPD) is a peripheral dyslexia that causes errors of letter order within words. So far, only cases of acquired LPD have been reported. This study presents selective LPD in its developmental form, via the testing of II Hebrew-speaking individuals with developmental dyslexia. The study explores the types of errors and effects on reading in this dyslexia, using a variety of tests: reading aloud, lexical decision, same-different decision, definition and letter naming. The findings indicate that individuals with developmental LPD have a deficit in the letter position encoding function of the orthographic visual analyser, which leads to underspecification of letter position within words. Letter position errors occur mainly in adjacent middle letters, when the error creates another existing word. The participants did not show an output deficit or phonemic awareness deficit. The selectivity of the deficit, causing letter position errors but no letter identity errors and no migrations between words, supports the existence of letter position encoding function as separate from letter identification and letter-to-word binding.","container-title":"Journal of Neuropsychology","DOI":"10.1348/174866407x204227","ISSN":"1748-6645","issue":"2","journalAbbreviation":"J Neuropsychol","language":"eng","note":"PMID: 19331018","page":"201-236","source":"PubMed","title":"Developmental letter position dyslexia","volume":"1","author":[{"family":"Friedmann","given":"Naama"},{"family":"Rahamim","given":"Einav"}],"issued":{"date-parts":[["2007"]]}}},{"id":439,"uris":["http://zotero.org/users/6317667/items/ZZDB7PMW"],"uri":["http://zotero.org/users/6317667/items/ZZDB7PMW"],"itemData":{"id":439,"type":"article-journal","abstract":"Many children with reading difficulties display phonological deficits and struggle to acquire non-lexical reading skills. However, not all children with reading difficulties have these problems, such as children with selective letter position dyslexia (LPD), who make excessive migration errors (such as reading slime as “smile”). Previous research has explored three possible loci for the deficit – the phonological output buffer, the orthographic input lexicon, and the orthographic-visual analysis stage of reading. While there is compelling evidence against a phonological output buffer and orthographic input lexicon deficit account of English LPD, the evidence in support of an orthographic-visual analysis deficit is currently limited. In this multiple single-case study with three English-speaking children with developmental LPD, we aimed to both replicate and extend previous findings regarding the locus of impairment in English LPD. First, we ruled out a phonological output buffer and an orthographic input lexicon deficit by administering tasks that directly assess phonological processing and lexical guessing. We then went on to directly assess whether or not children with LPD have an orthographic-visual analysis deficit by modifying two tasks that have previously been used to localize processing at this level: a same-different decision task and a non-word reading task. The results from these tasks indicate that LPD is most likely caused by a deficit specific to the coding of letter positions at the orthographic-visual analysis stage of reading. These findings provide further evidence for the heterogeneity of dyslexia and its underlying causes.","container-title":"Frontiers in Human Neuroscience","DOI":"10.3389/fnhum.2014.00356","ISSN":"1662-5161","journalAbbreviation":"Front Hum Neurosci","note":"PMID: 24917802\nPMCID: PMC4042363","source":"PubMed Central","title":"The locus of impairment in English developmental letter position dyslexia","URL":"https://www.ncbi.nlm.nih.gov/pmc/articles/PMC4042363/","volume":"8","author":[{"family":"Kezilas","given":"Yvette"},{"family":"Kohnen","given":"Saskia"},{"family":"McKague","given":"Meredith"},{"family":"Castles","given":"Anne"}],"accessed":{"date-parts":[["2020",6,12]]},"issued":{"date-parts":[["2014",6,3]]}}},{"id":436,"uris":["http://zotero.org/users/6317667/items/PLDM9SDP"],"uri":["http://zotero.org/users/6317667/items/PLDM9SDP"],"itemData":{"id":436,"type":"article-journal","abstract":"We report the first three cases of selective developmental letter position dyslexia in English. Although the parents and teachers of the children were concerned about these children's reading, standard tests did not reveal their deficit. It was only when the appropriate target words were presented, in this case, migratable words, that their letter position dyslexia was detected. Whereas previous research has described cases with acquired and developmental forms of letter position dyslexia in Hebrew and Arabic readers, this is the first report of this type of reading disorder in English. The cardinal symptom of letter position dyslexia is the migration of letters within the word (reading slime as ‘smile’; pirates as ‘parties’). These migration errors occur in reading aloud as well as in tasks of silent reading. This study provides further evidence that migration errors emerge at the level of early visual-orthographic analysis, in the letter position encoding function. Alternative explanations for the occurrence of migration errors such as poor phonological processing or a deficit in the orthographic input lexicon are ruled out.","container-title":"Neuropsychologia","DOI":"10.1016/j.neuropsychologia.2012.07.016","ISSN":"0028-3932","issue":"14","journalAbbreviation":"Neuropsychologia","language":"en","page":"3681-3692","source":"ScienceDirect","title":"When ‘slime’ becomes ‘smile’: Developmental letter position dyslexia in English","title-short":"When ‘slime’ becomes ‘smile’","volume":"50","author":[{"family":"Kohnen","given":"Saskia"},{"family":"Nickels","given":"Lyndsey"},{"family":"Castles","given":"Anne"},{"family":"Friedmann","given":"Naama"},{"family":"McArthur","given":"Genevieve"}],"issued":{"date-parts":[["2012",12,1]]}}}],"schema":"https://github.com/citation-style-language/schema/raw/master/csl-citation.json"} </w:instrText>
      </w:r>
      <w:r w:rsidR="00D01A7E" w:rsidRPr="00806BB7">
        <w:rPr>
          <w:rFonts w:cs="Times New Roman"/>
          <w:szCs w:val="24"/>
          <w:lang w:val="en-US"/>
        </w:rPr>
        <w:fldChar w:fldCharType="separate"/>
      </w:r>
      <w:r w:rsidR="00D01A7E" w:rsidRPr="00806BB7">
        <w:rPr>
          <w:rFonts w:cs="Times New Roman"/>
          <w:szCs w:val="24"/>
        </w:rPr>
        <w:t>(Friedmann &amp; Rahamim, 2007; in native English speakers see Kezilas et al., 2014 &amp; Kohnen et al., 2012)</w:t>
      </w:r>
      <w:r w:rsidR="00D01A7E" w:rsidRPr="00806BB7">
        <w:rPr>
          <w:rFonts w:cs="Times New Roman"/>
          <w:szCs w:val="24"/>
          <w:lang w:val="en-US"/>
        </w:rPr>
        <w:fldChar w:fldCharType="end"/>
      </w:r>
      <w:r w:rsidR="00D01A7E" w:rsidRPr="00806BB7">
        <w:rPr>
          <w:rFonts w:cs="Times New Roman"/>
          <w:szCs w:val="24"/>
          <w:lang w:val="en-US"/>
        </w:rPr>
        <w:t xml:space="preserve">; attentional dyslexia, expressed as letter migration between neighboring words </w:t>
      </w:r>
      <w:r w:rsidR="00D01A7E" w:rsidRPr="00806BB7">
        <w:rPr>
          <w:rFonts w:cs="Times New Roman"/>
          <w:szCs w:val="24"/>
          <w:lang w:val="en-US"/>
        </w:rPr>
        <w:fldChar w:fldCharType="begin"/>
      </w:r>
      <w:r w:rsidR="00D01A7E" w:rsidRPr="00806BB7">
        <w:rPr>
          <w:rFonts w:cs="Times New Roman"/>
          <w:szCs w:val="24"/>
          <w:lang w:val="en-US"/>
        </w:rPr>
        <w:instrText xml:space="preserve"> ADDIN ZOTERO_ITEM CSL_CITATION {"citationID":"djLgOXA3","properties":{"formattedCitation":"(Friedmann et al., 2010)","plainCitation":"(Friedmann et al., 2010)","noteIndex":0},"citationItems":[{"id":445,"uris":["http://zotero.org/users/6317667/items/XFYI67YX"],"uri":["http://zotero.org/users/6317667/items/XFYI67YX"],"itemData":{"id":445,"type":"article-journal","abstract":"Attentional dyslexia is a reading deficit in which letters migrate between neighboring words, but are correctly identified and keep their correct relative position within the word. Thus, for example, fig tree can be read as fig free or even tie free. This study reports on 10 Hebrew-speaking individuals with developmental attentional dyslexia and explores in detail the characteristics of their between-word errors. Each participant read 2290 words, presented in word pairs: 845 horizontally presented word pairs, 240 vertically presented word pairs, and 60 nonword pairs. The main results are that almost all migrations preserve the relative position of the migrating letter within the word, indicating that the between-word position can be impaired while the within-word position encoding remains intact. This result is also supported by the finding that the participants did not make many letter position errors within words. Further analyses indicated that more errors occur in longer words, that most migrations occur in final letters (which are the leftmost letters in Hebrew), and that letters migrate both horizontally and vertically, and more frequently from the first to the second word in horizontal presentation. More migrations occurred when the result of migration was an existing word. Similarity between words in a pair did not increase error rates, and more migrations occurred when the words shared fewer letters. The between-word errors included the classic errors of migration of a letter between words, but also omission of one instance of a letter that appeared in the same position in the two words, an error that constituted a considerable percentage of the between-word errors, and intrusion of a letter from one word to the corresponding position in the neighboring word without erasing the original letter in the same position.","container-title":"Cortex; a Journal Devoted to the Study of the Nervous System and Behavior","DOI":"10.1016/j.cortex.2010.06.012","ISSN":"1973-8102","issue":"10","journalAbbreviation":"Cortex","language":"eng","note":"PMID: 20832785","page":"1216-1237","source":"PubMed","title":"Developmental attentional dyslexia","volume":"46","author":[{"family":"Friedmann","given":"Naama"},{"family":"Kerbel","given":"Noa"},{"family":"Shvimer","given":"Lilach"}],"issued":{"date-parts":[["2010",12]]}}}],"schema":"https://github.com/citation-style-language/schema/raw/master/csl-citation.json"} </w:instrText>
      </w:r>
      <w:r w:rsidR="00D01A7E" w:rsidRPr="00806BB7">
        <w:rPr>
          <w:rFonts w:cs="Times New Roman"/>
          <w:szCs w:val="24"/>
          <w:lang w:val="en-US"/>
        </w:rPr>
        <w:fldChar w:fldCharType="separate"/>
      </w:r>
      <w:r w:rsidR="00D01A7E" w:rsidRPr="00806BB7">
        <w:rPr>
          <w:rFonts w:cs="Times New Roman"/>
          <w:szCs w:val="24"/>
        </w:rPr>
        <w:t>(Friedmann et al., 2010)</w:t>
      </w:r>
      <w:r w:rsidR="00D01A7E" w:rsidRPr="00806BB7">
        <w:rPr>
          <w:rFonts w:cs="Times New Roman"/>
          <w:szCs w:val="24"/>
          <w:lang w:val="en-US"/>
        </w:rPr>
        <w:fldChar w:fldCharType="end"/>
      </w:r>
      <w:r w:rsidR="00D01A7E" w:rsidRPr="00806BB7">
        <w:rPr>
          <w:rFonts w:cs="Times New Roman"/>
          <w:szCs w:val="24"/>
          <w:lang w:val="en-US"/>
        </w:rPr>
        <w:t xml:space="preserve">; letter identity dyslexia, expressed as difficulty in letter naming, or matching letters in divergent cases </w:t>
      </w:r>
      <w:r w:rsidR="00D01A7E" w:rsidRPr="00806BB7">
        <w:rPr>
          <w:rFonts w:cs="Times New Roman"/>
          <w:szCs w:val="24"/>
          <w:lang w:val="en-US"/>
        </w:rPr>
        <w:fldChar w:fldCharType="begin"/>
      </w:r>
      <w:r w:rsidR="00D01A7E" w:rsidRPr="00806BB7">
        <w:rPr>
          <w:rFonts w:cs="Times New Roman"/>
          <w:szCs w:val="24"/>
          <w:lang w:val="en-US"/>
        </w:rPr>
        <w:instrText xml:space="preserve"> ADDIN ZOTERO_ITEM CSL_CITATION {"citationID":"YuPH82fn","properties":{"formattedCitation":"(Brunsdon et al., 2006)","plainCitation":"(Brunsdon et al., 2006)","noteIndex":0},"citationItems":[{"id":447,"uris":["http://zotero.org/users/6317667/items/SE6EFDID"],"uri":["http://zotero.org/users/6317667/items/SE6EFDID"],"itemData":{"id":447,"type":"article-journal","abstract":"We report the case of ET, a 7-year-old child with a severe developmental letter-processing impairment. Detailed assessment revealed multiple impairments of the letter-processing system affecting abstract visual letter representation, semantics, and connections between the phonological processing modules and the orthographic buffer. Treatment methods focused on letter sounding through development of abstract visual representation and semantic representation of letters. Treatment resulted in dramatic and enduring improvements in cross-case matching, letter/number categorization, and letter sounding. Cognitive neuropsychological reading research has largely focused on word processing, with a relative neglect of single-letter processing. The current study investigated letter processing in greater detail than has been usual and outlines a broad theoretical framework for letter processing. ET's assessment and treatment data are used to support and question predictions from the framework. A number of theoretical implications are discussed with reference to ET's data and that of other reported cases of impaired single-letter processing. Finally, the paucity of investigation of letter processing in children is highlighted, particularly with regard to integrity of abstract letter representation in developmental dyslexia.","container-title":"Cognitive Neuropsychology","DOI":"10.1080/02643290500310863","ISSN":"0264-3294","issue":"6","note":"publisher: Routledge\n_eprint: https://doi.org/10.1080/02643290500310863\nPMID: 21049354","page":"795-821","source":"Taylor and Francis+NEJM","title":"Severe developmental letter-processing impairment: A treatment case study","title-short":"Severe developmental letter-processing impairment","volume":"23","author":[{"family":"Brunsdon","given":"Ruth"},{"family":"Coltheart","given":"Max"},{"family":"Nickels","given":"Lyndsey"}],"issued":{"date-parts":[["2006",9,1]]}}}],"schema":"https://github.com/citation-style-language/schema/raw/master/csl-citation.json"} </w:instrText>
      </w:r>
      <w:r w:rsidR="00D01A7E" w:rsidRPr="00806BB7">
        <w:rPr>
          <w:rFonts w:cs="Times New Roman"/>
          <w:szCs w:val="24"/>
          <w:lang w:val="en-US"/>
        </w:rPr>
        <w:fldChar w:fldCharType="separate"/>
      </w:r>
      <w:r w:rsidR="00D01A7E" w:rsidRPr="00806BB7">
        <w:rPr>
          <w:rFonts w:cs="Times New Roman"/>
          <w:szCs w:val="24"/>
        </w:rPr>
        <w:t>(Brunsdon et al., 2006)</w:t>
      </w:r>
      <w:r w:rsidR="00D01A7E" w:rsidRPr="00806BB7">
        <w:rPr>
          <w:rFonts w:cs="Times New Roman"/>
          <w:szCs w:val="24"/>
          <w:lang w:val="en-US"/>
        </w:rPr>
        <w:fldChar w:fldCharType="end"/>
      </w:r>
      <w:r w:rsidR="00D01A7E" w:rsidRPr="00806BB7">
        <w:rPr>
          <w:rFonts w:cs="Times New Roman"/>
          <w:szCs w:val="24"/>
          <w:lang w:val="en-US"/>
        </w:rPr>
        <w:t xml:space="preserve">; surface dyslexia, described as a difficulty of quick and accurate reading of known written words </w:t>
      </w:r>
      <w:r w:rsidR="00D01A7E" w:rsidRPr="00806BB7">
        <w:rPr>
          <w:rFonts w:cs="Times New Roman"/>
          <w:szCs w:val="24"/>
          <w:lang w:val="en-US"/>
        </w:rPr>
        <w:fldChar w:fldCharType="begin"/>
      </w:r>
      <w:r w:rsidR="00D01A7E" w:rsidRPr="00806BB7">
        <w:rPr>
          <w:rFonts w:cs="Times New Roman"/>
          <w:szCs w:val="24"/>
          <w:lang w:val="en-US"/>
        </w:rPr>
        <w:instrText xml:space="preserve"> ADDIN ZOTERO_ITEM CSL_CITATION {"citationID":"uEOpMU84","properties":{"formattedCitation":"(Castles, 1996; Kohnen et al., 2018)","plainCitation":"(Castles, 1996; Kohnen et al., 2018)","noteIndex":0},"citationItems":[{"id":479,"uris":["http://zotero.org/users/6317667/items/BDI8ITDX"],"uri":["http://zotero.org/users/6317667/items/BDI8ITDX"],"itemData":{"id":479,"type":"article-journal","abstract":"Recently, there have been several reports of developmental analogues of the specific orthographic processing deficits observed in acquired surface dyslexics (Goulandris &amp; Snow ling, 1991; Hanley, Hastie, &amp; Kay, 1992). How ever, very little has been discovered about w hat basic cognitive deficits might be associated w ith this particular kind of reading disorder. This paper describes the case of MI, a 10-year-old boy w ith a high IQ and no known history of neurological impairment. He demonstrates extremely poor performance for his age and reading level on irregular word reading tasks, but performs normally on nonword and regular word tasks. His performance on a series of homophone selection tasks suggests an impairment at the orthographic input level. The results of various tests of associated cognitive abilities conducted on MI suggest that this impairment is not associated either with phonological awareness deficits or with the visual memory problems proposed by Goulandris and Snowling (1991).","container-title":"Cognitive Neuropsychology","DOI":"10.1080/026432996382051","ISSN":"0264-3294","issue":"1","note":"publisher: Routledge\n_eprint: https://doi.org/10.1080/026432996382051\nPMID: 28532313","page":"25-50","source":"Taylor and Francis+NEJM","title":"Cognitive Correlates of Developmental Surface Dyslexia: A Single Case Study","title-short":"Cognitive Correlates of Developmental Surface Dyslexia","volume":"13","author":[{"family":"Castles","given":"Anne"}],"issued":{"date-parts":[["1996",1,1]]}}},{"id":476,"uris":["http://zotero.org/users/6317667/items/SGJMPSDY"],"uri":["http://zotero.org/users/6317667/items/SGJMPSDY"],"itemData":{"id":476,"type":"article-journal","abstract":"Surface dyslexia is characterised by poor reading of irregular words while nonword reading can be completely normal. Previous work has identified several theoretical possibilities for the underlying locus of impairment in surface dyslexia. In this study, we systematically investigated whether children with surface dyslexia showed different patterns of reading performance that could be traced back to different underlying levels of impairment. To do this, we tested 12 English readers, replicating previous work in Hebrew (Gvion &amp; Friedmann, 2013; 2016; Friedmann &amp; Lukov, 2008; Friedmann &amp; Gvion, 2016). In our sample, we found that poor irregular word reading was associated with deficits at the level of the orthographic input lexicon and with impaired access to meaning and spoken word forms after processing written words in the orthographic input lexicon. There were also children whose surface dyslexia seemed to be caused by impairments of the phonological output lexicon. We suggest that further evidence is required to unequivocally support a fourth pattern where the link between orthography and meaning is intact while the link between orthography and spoken word forms is not functioning. All patterns found were consistent with dual route theory while possible patterns of results, which would be inconsistent with dual route theory, were not detected.","container-title":"Cortex","DOI":"10.1016/j.cortex.2018.04.008","ISSN":"0010-9452","journalAbbreviation":"Cortex","language":"en","page":"151-163","source":"ScienceDirect","title":"Variations within a subtype: Developmental surface dyslexias in English","title-short":"Variations within a subtype","volume":"106","author":[{"family":"Kohnen","given":"Saskia"},{"family":"Nickels","given":"Lyndsey"},{"family":"Geigis","given":"Leonie"},{"family":"Coltheart","given":"Max"},{"family":"McArthur","given":"Genevieve"},{"family":"Castles","given":"Anne"}],"issued":{"date-parts":[["2018",9,1]]}}}],"schema":"https://github.com/citation-style-language/schema/raw/master/csl-citation.json"} </w:instrText>
      </w:r>
      <w:r w:rsidR="00D01A7E" w:rsidRPr="00806BB7">
        <w:rPr>
          <w:rFonts w:cs="Times New Roman"/>
          <w:szCs w:val="24"/>
          <w:lang w:val="en-US"/>
        </w:rPr>
        <w:fldChar w:fldCharType="separate"/>
      </w:r>
      <w:r w:rsidR="00D01A7E" w:rsidRPr="00806BB7">
        <w:rPr>
          <w:rFonts w:cs="Times New Roman"/>
          <w:szCs w:val="24"/>
        </w:rPr>
        <w:t>(Castles, 1996; Kohnen et al., 2018)</w:t>
      </w:r>
      <w:r w:rsidR="00D01A7E" w:rsidRPr="00806BB7">
        <w:rPr>
          <w:rFonts w:cs="Times New Roman"/>
          <w:szCs w:val="24"/>
          <w:lang w:val="en-US"/>
        </w:rPr>
        <w:fldChar w:fldCharType="end"/>
      </w:r>
      <w:r w:rsidR="00D01A7E" w:rsidRPr="00806BB7">
        <w:rPr>
          <w:rFonts w:cs="Times New Roman"/>
          <w:szCs w:val="24"/>
          <w:lang w:val="en-US"/>
        </w:rPr>
        <w:t>;</w:t>
      </w:r>
      <w:r w:rsidR="00D01A7E">
        <w:rPr>
          <w:rFonts w:cs="Times New Roman"/>
          <w:szCs w:val="24"/>
          <w:lang w:val="en-US"/>
        </w:rPr>
        <w:t xml:space="preserve"> </w:t>
      </w:r>
      <w:r w:rsidR="00D01A7E" w:rsidRPr="00806BB7">
        <w:rPr>
          <w:rFonts w:cs="Times New Roman"/>
          <w:szCs w:val="24"/>
          <w:lang w:val="en-US"/>
        </w:rPr>
        <w:t>and phonological dyslexia, described as a difficulty for reading unknow</w:t>
      </w:r>
      <w:r w:rsidR="00D01A7E">
        <w:rPr>
          <w:rFonts w:cs="Times New Roman"/>
          <w:szCs w:val="24"/>
          <w:lang w:val="en-US"/>
        </w:rPr>
        <w:t>n</w:t>
      </w:r>
      <w:r w:rsidR="00D01A7E" w:rsidRPr="00806BB7">
        <w:rPr>
          <w:rFonts w:cs="Times New Roman"/>
          <w:szCs w:val="24"/>
          <w:lang w:val="en-US"/>
        </w:rPr>
        <w:t xml:space="preserve"> or </w:t>
      </w:r>
      <w:r w:rsidR="00BE1252">
        <w:rPr>
          <w:rFonts w:cs="Times New Roman"/>
          <w:szCs w:val="24"/>
          <w:lang w:val="en-US"/>
        </w:rPr>
        <w:t>nonwords</w:t>
      </w:r>
      <w:r w:rsidR="00D01A7E" w:rsidRPr="00806BB7">
        <w:rPr>
          <w:rFonts w:cs="Times New Roman"/>
          <w:szCs w:val="24"/>
          <w:lang w:val="en-US"/>
        </w:rPr>
        <w:t xml:space="preserve"> </w:t>
      </w:r>
      <w:r w:rsidR="00D01A7E" w:rsidRPr="00806BB7">
        <w:rPr>
          <w:rFonts w:cs="Times New Roman"/>
          <w:szCs w:val="24"/>
          <w:lang w:val="en-US"/>
        </w:rPr>
        <w:fldChar w:fldCharType="begin"/>
      </w:r>
      <w:r w:rsidR="00903EDA">
        <w:rPr>
          <w:rFonts w:cs="Times New Roman"/>
          <w:szCs w:val="24"/>
          <w:lang w:val="en-US"/>
        </w:rPr>
        <w:instrText xml:space="preserve"> ADDIN ZOTERO_ITEM CSL_CITATION {"citationID":"WkuCMfPE","properties":{"formattedCitation":"(Castles &amp; Coltheart, 1993; Coltheart, 1996; Temple &amp; Marshall, 1983)","plainCitation":"(Castles &amp; Coltheart, 1993; Coltheart, 1996; Temple &amp; Marshall, 1983)","dontUpdate":true,"noteIndex":0},"citationItems":[{"id":280,"uris":["http://zotero.org/users/6317667/items/HZ5V3Y6V"],"uri":["http://zotero.org/users/6317667/items/HZ5V3Y6V"],"itemData":{"id":280,"type":"article-journal","abstract":"This paper reviews and evaluates the evidence for the existence of distinct varieties of developmental dyslexia, analogous to those found in the acquired dyslexic population. Models of the normal adult reading process and of the development of reading in children are used to provide a framework for considering the issues. Data from a large-sample study of the reading patterns of developmental dyslexics are then reported. The lexical and sublexical reading skills of 56 developmental dyslexics were assessed through close comaprison with the skills of 56 normally developing readers. The results indicate that there are at least two varieities of developmental dyslexia, the first of which is characterized by a specific difficulty using the lexical procedure, and the second by a difficulty using the sublexical procedure. These subtypes are apparently not rare, but are relatively prevalent in the developmental dyslexic population. The results of a second experiment, which suggest that neither of these reading patterns can be accounted for in terms of a general language disorder,a re then reported.","container-title":"Cognition","DOI":"10.1016/0010-0277(93)90003-E","ISSN":"0010-0277","issue":"2","journalAbbreviation":"Cognition","language":"en","page":"149-180","source":"ScienceDirect","title":"Varieties of developmental dyslexia","volume":"47","author":[{"family":"Castles","given":"Anne"},{"family":"Coltheart","given":"Max"}],"issued":{"date-parts":[["1993",5,1]]}}},{"id":484,"uris":["http://zotero.org/users/6317667/items/H9JQL8PC"],"uri":["http://zotero.org/users/6317667/items/H9JQL8PC"],"itemData":{"id":484,"type":"article-journal","abstract":"States that phonological dyslexia was under-investigated in the decade after its original identification, but considerably more has been learned recently. In particular, there is very thorough documentation now showing that almost all such patients show some form of phonological impairment even in tasks that have nothing to do with orthography. The author also discusses (1) whether phonological dyslexia is just dyslexia, (2) orthographic effects in phonological dyslexic reading, and (3) computational modeling of phonological dyslexia. A case study is provided to illustrate these points. The author also states that there is an urgent need for further study on the kinds of influences of phonological dyslexia on nonword reading accuracy. (PsycINFO Database Record (c) 2016 APA, all rights reserved)","container-title":"Cognitive Neuropsychology","DOI":"10.1080/026432996381791","ISSN":"1464-0627(Electronic),0264-3294(Print)","issue":"6","note":"publisher-place: United Kingdom\npublisher: Taylor &amp; Francis","page":"749-762","source":"APA PsycNET","title":"Phonological dyslexia: Past and future issues","title-short":"Phonological dyslexia","volume":"13","author":[{"family":"Coltheart","given":"Max"}],"issued":{"date-parts":[["1996"]]}}},{"id":482,"uris":["http://zotero.org/users/6317667/items/PETBGSDC"],"uri":["http://zotero.org/users/6317667/items/PETBGSDC"],"itemData":{"id":482,"type":"article-journal","abstract":"H.M. is a 17-year-old girl of at least average intelligence and with an above-average oral vocabulary. She is impaired at non-word reading in comparison to word reading. She is incapable of reading any long nonsense words or long unusual regular words correctly. Many of her non-word reading responses are lexicalizations. She reads non-words homophonic with real words better than she reads non-words that are not homophonic with real words. Her reading age is 10 years 11 months. A large proportion of her reading errors are derivational or visual paralexias. She makes no semantic errors or errors of regularization and few neologistic responses. H.M. is not influenced by the dimensions of spelling-to-sound regularity and word length. There is no effect of word class on single-word reading although a function word deficit is present when continuous text is read aloud. H.M. is impaired at word reading when the stimulus items are distorted in a manner that reduces the potential for global perception. H.M.'s spelling errors are primarily phonological, though more complex errors are made than those characteristic of surface agraphics. All of these features are consistent with reported cases of acquired phonological dyslexia. H.M. may be confidently regarded as a developmental phonological dyslexic.","container-title":"British Journal of Psychology","DOI":"10.1111/j.2044-8295.1983.tb01883.x","ISSN":"2044-8295","issue":"4","language":"en","note":"_eprint: https://onlinelibrary.wiley.com/doi/pdf/10.1111/j.2044-8295.1983.tb01883.x","page":"517-533","source":"Wiley Online Library","title":"A case study of developmental phonological dyslexia","volume":"74","author":[{"family":"Temple","given":"Christine M."},{"family":"Marshall","given":"John C."}],"issued":{"date-parts":[["1983"]]}}}],"schema":"https://github.com/citation-style-language/schema/raw/master/csl-citation.json"} </w:instrText>
      </w:r>
      <w:r w:rsidR="00D01A7E" w:rsidRPr="00806BB7">
        <w:rPr>
          <w:rFonts w:cs="Times New Roman"/>
          <w:szCs w:val="24"/>
          <w:lang w:val="en-US"/>
        </w:rPr>
        <w:fldChar w:fldCharType="separate"/>
      </w:r>
      <w:r w:rsidR="00D01A7E" w:rsidRPr="00806BB7">
        <w:rPr>
          <w:rFonts w:cs="Times New Roman"/>
          <w:szCs w:val="24"/>
        </w:rPr>
        <w:t>(Castles &amp; Coltheart, 1993; Coltheart, 1996; Temple &amp; Marshall, 1983;</w:t>
      </w:r>
      <w:r w:rsidR="00D01A7E" w:rsidRPr="00806BB7">
        <w:rPr>
          <w:rFonts w:cs="Times New Roman"/>
          <w:szCs w:val="24"/>
          <w:lang w:val="en-US"/>
        </w:rPr>
        <w:fldChar w:fldCharType="end"/>
      </w:r>
      <w:r w:rsidR="00D01A7E" w:rsidRPr="00806BB7">
        <w:rPr>
          <w:rFonts w:cs="Times New Roman"/>
          <w:szCs w:val="24"/>
          <w:lang w:val="en-US"/>
        </w:rPr>
        <w:t xml:space="preserve"> for review of subtypes see, </w:t>
      </w:r>
      <w:r w:rsidR="00D01A7E" w:rsidRPr="00806BB7">
        <w:rPr>
          <w:szCs w:val="24"/>
        </w:rPr>
        <w:t>Friedmann &amp; Coltheart, 2018). Despite this research, univariate approaches to dyslexia tend to focus primarily on phonological dyslexia and hence must find a way to explain the inherent variability within reading impaired samples.</w:t>
      </w:r>
    </w:p>
    <w:p w14:paraId="56F8BE80" w14:textId="5F460939" w:rsidR="00884B52" w:rsidRPr="00806BB7" w:rsidRDefault="00884B52" w:rsidP="00AB29FF">
      <w:pPr>
        <w:contextualSpacing/>
        <w:rPr>
          <w:rFonts w:cs="Times New Roman"/>
          <w:bCs/>
          <w:szCs w:val="24"/>
          <w:lang w:val="en-CA"/>
        </w:rPr>
      </w:pPr>
      <w:r w:rsidRPr="00806BB7">
        <w:rPr>
          <w:rFonts w:cs="Times New Roman"/>
          <w:bCs/>
          <w:szCs w:val="24"/>
          <w:lang w:val="en-CA"/>
        </w:rPr>
        <w:lastRenderedPageBreak/>
        <w:t>We recognise and agree with the heterogeneous nature of reading impairment currently advocated for by the reading</w:t>
      </w:r>
      <w:r w:rsidR="00BE385B" w:rsidRPr="00806BB7">
        <w:rPr>
          <w:rFonts w:cs="Times New Roman"/>
          <w:bCs/>
          <w:szCs w:val="24"/>
          <w:lang w:val="en-CA"/>
        </w:rPr>
        <w:t>-</w:t>
      </w:r>
      <w:r w:rsidRPr="00806BB7">
        <w:rPr>
          <w:rFonts w:cs="Times New Roman"/>
          <w:bCs/>
          <w:szCs w:val="24"/>
          <w:lang w:val="en-CA"/>
        </w:rPr>
        <w:t xml:space="preserve">research </w:t>
      </w:r>
      <w:r w:rsidR="00574F96" w:rsidRPr="00806BB7">
        <w:rPr>
          <w:rFonts w:cs="Times New Roman"/>
          <w:bCs/>
          <w:szCs w:val="24"/>
          <w:lang w:val="en-CA"/>
        </w:rPr>
        <w:t xml:space="preserve">community. </w:t>
      </w:r>
      <w:r w:rsidR="009949DC" w:rsidRPr="00806BB7">
        <w:rPr>
          <w:rFonts w:cs="Times New Roman"/>
          <w:bCs/>
          <w:szCs w:val="24"/>
          <w:lang w:val="en-CA"/>
        </w:rPr>
        <w:t>This paradigmatic shift is furth</w:t>
      </w:r>
      <w:r w:rsidR="007C5AA3" w:rsidRPr="00806BB7">
        <w:rPr>
          <w:rFonts w:cs="Times New Roman"/>
          <w:bCs/>
          <w:szCs w:val="24"/>
          <w:lang w:val="en-CA"/>
        </w:rPr>
        <w:t>er elaborated by</w:t>
      </w:r>
      <w:r w:rsidR="009949DC" w:rsidRPr="00806BB7">
        <w:rPr>
          <w:rFonts w:cs="Times New Roman"/>
          <w:bCs/>
          <w:szCs w:val="24"/>
          <w:lang w:val="en-CA"/>
        </w:rPr>
        <w:t xml:space="preserve"> more recent</w:t>
      </w:r>
      <w:r w:rsidR="007C5AA3" w:rsidRPr="00806BB7">
        <w:rPr>
          <w:rFonts w:cs="Times New Roman"/>
          <w:bCs/>
          <w:szCs w:val="24"/>
          <w:lang w:val="en-CA"/>
        </w:rPr>
        <w:t xml:space="preserve"> proposals of</w:t>
      </w:r>
      <w:r w:rsidR="009949DC" w:rsidRPr="00806BB7">
        <w:rPr>
          <w:rFonts w:cs="Times New Roman"/>
          <w:bCs/>
          <w:szCs w:val="24"/>
          <w:lang w:val="en-CA"/>
        </w:rPr>
        <w:t xml:space="preserve"> multivariate </w:t>
      </w:r>
      <w:r w:rsidR="007C5AA3" w:rsidRPr="00806BB7">
        <w:rPr>
          <w:rFonts w:cs="Times New Roman"/>
          <w:bCs/>
          <w:szCs w:val="24"/>
          <w:lang w:val="en-CA"/>
        </w:rPr>
        <w:t>models examining the causes</w:t>
      </w:r>
      <w:r w:rsidR="009949DC" w:rsidRPr="00806BB7">
        <w:rPr>
          <w:rFonts w:cs="Times New Roman"/>
          <w:bCs/>
          <w:szCs w:val="24"/>
          <w:lang w:val="en-CA"/>
        </w:rPr>
        <w:t xml:space="preserve"> of reading deficits </w:t>
      </w:r>
      <w:r w:rsidR="009949DC" w:rsidRPr="00806BB7">
        <w:rPr>
          <w:rFonts w:cs="Times New Roman"/>
          <w:bCs/>
          <w:szCs w:val="24"/>
          <w:lang w:val="en-CA"/>
        </w:rPr>
        <w:fldChar w:fldCharType="begin"/>
      </w:r>
      <w:r w:rsidR="00095E48" w:rsidRPr="00806BB7">
        <w:rPr>
          <w:rFonts w:cs="Times New Roman"/>
          <w:bCs/>
          <w:szCs w:val="24"/>
          <w:lang w:val="en-CA"/>
        </w:rPr>
        <w:instrText xml:space="preserve"> ADDIN ZOTERO_ITEM CSL_CITATION {"citationID":"iKcd6Fmr","properties":{"formattedCitation":"(Catts et al., 2017; McGrath et al., 2020)","plainCitation":"(Catts et al., 2017; McGrath et al., 2020)","noteIndex":0},"citationItems":[{"id":348,"uris":["http://zotero.org/users/6317667/items/T9UAK3KL"],"uri":["http://zotero.org/users/6317667/items/T9UAK3KL"],"itemData":{"id":348,"type":"article-journal","abstract":"Participants were administered multiple measures of phonological awareness, oral language, and rapid automatized naming at the beginning of kindergarten and multiple measures of word reading at the end of second grade. A structural equation model was fit to the data and latent scores were used to identify children with a deficit in phonological awareness alone or in combination with other kindergarten deficits. Children with a deficit in phonological awareness in kindergarten were found to be five times more likely to have dyslexia in second grade than children without such a deficit. This risk ratio substantially increased with the addition of deficits in both oral language and rapid naming. Whereas children with one or more kindergarten deficits were at heighten risk for dyslexia, some of these children were found to be adequate or better readers. These results are discussed within a multifactorial model of dyslexia that includes both risk and protective factors.","container-title":"Reading and Writing","DOI":"10.1007/s11145-016-9692-2","ISSN":"1573-0905","issue":"3","journalAbbreviation":"Read Writ","language":"en","page":"613-629","source":"Springer Link","title":"Viewing a phonological deficit within a multifactorial model of dyslexia","volume":"30","author":[{"family":"Catts","given":"Hugh W."},{"family":"McIlraith","given":"Autumn"},{"family":"Bridges","given":"Mindy Sittner"},{"family":"Nielsen","given":"Diane Corcoran"}],"issued":{"date-parts":[["2017",3,1]]}}},{"id":347,"uris":["http://zotero.org/users/6317667/items/6SNM7MH3"],"uri":["http://zotero.org/users/6317667/items/6SNM7MH3"],"itemData":{"id":347,"type":"article-journal","abstract":"The multiple deficit model (MDM) was proposed because the prevailing single deficit model provided an inadequate account of atypical neuropsychological development. Across methods and levels of analysis, there has been support for the two fundamental tenets of the MDM, that multiple predictors contribute probabilistically to neurodevelopmental disorders and shared risk factors contribute to comorbidity. Diagnostically, the multiplicity of factors means that no single cognitive deficit or combination of deficits can be used to rule in or out most neurodevelopmental disorders. Challenges for the MDM are that the theory is difficult to falsify and that current cross-sectional studies cannot establish causality. Prospects for further development of the MDM include incorporating an explicit focus on promotive and protective factors and pursuing mechanistic connections between multiple factors across levels of analysis.","container-title":"Scientific Studies of Reading","DOI":"10.1080/10888438.2019.1706180","ISSN":"1088-8438","issue":"1","note":"publisher: Routledge\n_eprint: https://doi.org/10.1080/10888438.2019.1706180","page":"7-13","source":"Taylor and Francis+NEJM","title":"The Multiple Deficit Model: Progress, Problems, and Prospects","title-short":"The Multiple Deficit Model","volume":"24","author":[{"family":"McGrath","given":"Lauren M."},{"family":"Peterson","given":"Robin L."},{"family":"Pennington","given":"Bruce F."}],"issued":{"date-parts":[["2020",1,2]]}}}],"schema":"https://github.com/citation-style-language/schema/raw/master/csl-citation.json"} </w:instrText>
      </w:r>
      <w:r w:rsidR="009949DC" w:rsidRPr="00806BB7">
        <w:rPr>
          <w:rFonts w:cs="Times New Roman"/>
          <w:bCs/>
          <w:szCs w:val="24"/>
          <w:lang w:val="en-CA"/>
        </w:rPr>
        <w:fldChar w:fldCharType="separate"/>
      </w:r>
      <w:r w:rsidR="009949DC" w:rsidRPr="00806BB7">
        <w:rPr>
          <w:rFonts w:cs="Times New Roman"/>
          <w:szCs w:val="24"/>
        </w:rPr>
        <w:t>(Catts et al., 2017; McGrath et al., 2020)</w:t>
      </w:r>
      <w:r w:rsidR="009949DC" w:rsidRPr="00806BB7">
        <w:rPr>
          <w:rFonts w:cs="Times New Roman"/>
          <w:bCs/>
          <w:szCs w:val="24"/>
          <w:lang w:val="en-CA"/>
        </w:rPr>
        <w:fldChar w:fldCharType="end"/>
      </w:r>
      <w:r w:rsidR="009949DC" w:rsidRPr="00806BB7">
        <w:rPr>
          <w:rFonts w:cs="Times New Roman"/>
          <w:bCs/>
          <w:szCs w:val="24"/>
          <w:lang w:val="en-CA"/>
        </w:rPr>
        <w:t xml:space="preserve">. </w:t>
      </w:r>
      <w:r w:rsidRPr="00806BB7">
        <w:rPr>
          <w:rFonts w:cs="Times New Roman"/>
          <w:bCs/>
          <w:szCs w:val="24"/>
          <w:lang w:val="en-CA"/>
        </w:rPr>
        <w:t xml:space="preserve">However, this heterogeneity does not necessarily preclude the possibility of altered functioning </w:t>
      </w:r>
      <w:r w:rsidR="00682F4A" w:rsidRPr="00806BB7">
        <w:rPr>
          <w:rFonts w:cs="Times New Roman"/>
          <w:bCs/>
          <w:szCs w:val="24"/>
          <w:lang w:val="en-CA"/>
        </w:rPr>
        <w:t>in what has been defined as an anchoring mechanism</w:t>
      </w:r>
      <w:r w:rsidR="00EE12C0" w:rsidRPr="00806BB7">
        <w:rPr>
          <w:rFonts w:cs="Times New Roman"/>
          <w:bCs/>
          <w:szCs w:val="24"/>
          <w:lang w:val="en-CA"/>
        </w:rPr>
        <w:t xml:space="preserve">, or, </w:t>
      </w:r>
      <w:r w:rsidR="00DA3528" w:rsidRPr="00806BB7">
        <w:rPr>
          <w:rFonts w:cs="Times New Roman"/>
          <w:bCs/>
          <w:szCs w:val="24"/>
          <w:lang w:val="en-CA"/>
        </w:rPr>
        <w:t>an impairment in some general capacity that reflects a risk factor for more specific deficits</w:t>
      </w:r>
      <w:r w:rsidRPr="00806BB7">
        <w:rPr>
          <w:rFonts w:cs="Times New Roman"/>
          <w:bCs/>
          <w:szCs w:val="24"/>
          <w:lang w:val="en-CA"/>
        </w:rPr>
        <w:t>.</w:t>
      </w:r>
      <w:r w:rsidR="009949DC" w:rsidRPr="00806BB7">
        <w:rPr>
          <w:rFonts w:cs="Times New Roman"/>
          <w:bCs/>
          <w:szCs w:val="24"/>
          <w:lang w:val="en-CA"/>
        </w:rPr>
        <w:t xml:space="preserve"> </w:t>
      </w:r>
      <w:r w:rsidR="00787848">
        <w:rPr>
          <w:rFonts w:cs="Times New Roman"/>
          <w:bCs/>
          <w:szCs w:val="24"/>
          <w:lang w:val="en-CA"/>
        </w:rPr>
        <w:t>Indeed</w:t>
      </w:r>
      <w:r w:rsidR="00AB29FF">
        <w:rPr>
          <w:rFonts w:cs="Times New Roman"/>
          <w:bCs/>
          <w:szCs w:val="24"/>
          <w:lang w:val="en-CA"/>
        </w:rPr>
        <w:t>, if studies</w:t>
      </w:r>
      <w:r w:rsidR="00AB29FF" w:rsidRPr="00806BB7">
        <w:rPr>
          <w:rFonts w:cs="Times New Roman"/>
          <w:bCs/>
          <w:szCs w:val="24"/>
          <w:lang w:val="en-CA"/>
        </w:rPr>
        <w:t xml:space="preserve"> include</w:t>
      </w:r>
      <w:r w:rsidR="00AB29FF">
        <w:rPr>
          <w:rFonts w:cs="Times New Roman"/>
          <w:bCs/>
          <w:szCs w:val="24"/>
          <w:lang w:val="en-CA"/>
        </w:rPr>
        <w:t>d</w:t>
      </w:r>
      <w:r w:rsidR="00AB29FF" w:rsidRPr="00806BB7">
        <w:rPr>
          <w:rFonts w:cs="Times New Roman"/>
          <w:bCs/>
          <w:szCs w:val="24"/>
          <w:lang w:val="en-CA"/>
        </w:rPr>
        <w:t xml:space="preserve"> a broader array of reading</w:t>
      </w:r>
      <w:r w:rsidR="00AB29FF">
        <w:rPr>
          <w:rFonts w:cs="Times New Roman"/>
          <w:bCs/>
          <w:szCs w:val="24"/>
          <w:lang w:val="en-CA"/>
        </w:rPr>
        <w:t>-subskill</w:t>
      </w:r>
      <w:r w:rsidR="00AB29FF" w:rsidRPr="00806BB7">
        <w:rPr>
          <w:rFonts w:cs="Times New Roman"/>
          <w:bCs/>
          <w:szCs w:val="24"/>
          <w:lang w:val="en-CA"/>
        </w:rPr>
        <w:t xml:space="preserve"> tests</w:t>
      </w:r>
      <w:r w:rsidR="00AB29FF">
        <w:rPr>
          <w:rFonts w:cs="Times New Roman"/>
          <w:bCs/>
          <w:szCs w:val="24"/>
          <w:lang w:val="en-CA"/>
        </w:rPr>
        <w:t>, this would</w:t>
      </w:r>
      <w:r w:rsidR="00AB29FF" w:rsidRPr="00806BB7">
        <w:rPr>
          <w:rFonts w:cs="Times New Roman"/>
          <w:bCs/>
          <w:szCs w:val="24"/>
          <w:lang w:val="en-CA"/>
        </w:rPr>
        <w:t xml:space="preserve"> allow for a m</w:t>
      </w:r>
      <w:r w:rsidR="00AB29FF">
        <w:rPr>
          <w:rFonts w:cs="Times New Roman"/>
          <w:bCs/>
          <w:szCs w:val="24"/>
          <w:lang w:val="en-CA"/>
        </w:rPr>
        <w:t xml:space="preserve">ore focussed development of the </w:t>
      </w:r>
      <w:r w:rsidR="00AB29FF" w:rsidRPr="00806BB7">
        <w:rPr>
          <w:rFonts w:cs="Times New Roman"/>
          <w:bCs/>
          <w:szCs w:val="24"/>
          <w:lang w:val="en-CA"/>
        </w:rPr>
        <w:t xml:space="preserve">anchoring </w:t>
      </w:r>
      <w:r w:rsidR="00AB29FF">
        <w:rPr>
          <w:rFonts w:cs="Times New Roman"/>
          <w:bCs/>
          <w:szCs w:val="24"/>
          <w:lang w:val="en-CA"/>
        </w:rPr>
        <w:t xml:space="preserve">deficit hypothesis (as well as other univariate approaches) with respect to </w:t>
      </w:r>
      <w:r w:rsidR="00AB29FF" w:rsidRPr="00806BB7">
        <w:rPr>
          <w:rFonts w:cs="Times New Roman"/>
          <w:bCs/>
          <w:szCs w:val="24"/>
          <w:lang w:val="en-CA"/>
        </w:rPr>
        <w:t>subtypes</w:t>
      </w:r>
      <w:r w:rsidR="00AB29FF">
        <w:rPr>
          <w:rFonts w:cs="Times New Roman"/>
          <w:bCs/>
          <w:szCs w:val="24"/>
          <w:lang w:val="en-CA"/>
        </w:rPr>
        <w:t xml:space="preserve"> of </w:t>
      </w:r>
      <w:r w:rsidR="00AB29FF" w:rsidRPr="00806BB7">
        <w:rPr>
          <w:rFonts w:cs="Times New Roman"/>
          <w:bCs/>
          <w:szCs w:val="24"/>
          <w:lang w:val="en-CA"/>
        </w:rPr>
        <w:t xml:space="preserve">dyslexia. </w:t>
      </w:r>
      <w:r w:rsidR="007C5AA3" w:rsidRPr="00806BB7">
        <w:rPr>
          <w:rFonts w:cs="Times New Roman"/>
          <w:bCs/>
          <w:szCs w:val="24"/>
          <w:lang w:val="en-CA"/>
        </w:rPr>
        <w:t>The issue is further complicated by the variable demographics of the included studies</w:t>
      </w:r>
      <w:r w:rsidR="00E0449C" w:rsidRPr="00806BB7">
        <w:rPr>
          <w:rFonts w:cs="Times New Roman"/>
          <w:bCs/>
          <w:szCs w:val="24"/>
          <w:lang w:val="en-CA"/>
        </w:rPr>
        <w:t>.</w:t>
      </w:r>
      <w:r w:rsidR="007C5AA3" w:rsidRPr="00806BB7">
        <w:rPr>
          <w:rFonts w:cs="Times New Roman"/>
          <w:bCs/>
          <w:szCs w:val="24"/>
          <w:lang w:val="en-CA"/>
        </w:rPr>
        <w:t xml:space="preserve"> </w:t>
      </w:r>
      <w:r w:rsidRPr="00806BB7">
        <w:rPr>
          <w:rFonts w:cs="Times New Roman"/>
          <w:bCs/>
          <w:szCs w:val="24"/>
          <w:lang w:val="en-CA"/>
        </w:rPr>
        <w:t xml:space="preserve">Research examining the relationship between perceptual </w:t>
      </w:r>
      <w:r w:rsidR="00C82335" w:rsidRPr="00806BB7">
        <w:rPr>
          <w:rFonts w:cs="Times New Roman"/>
          <w:bCs/>
          <w:szCs w:val="24"/>
          <w:lang w:val="en-CA"/>
        </w:rPr>
        <w:t>anchoring</w:t>
      </w:r>
      <w:r w:rsidR="005470E1" w:rsidRPr="00806BB7">
        <w:rPr>
          <w:rFonts w:cs="Times New Roman"/>
          <w:bCs/>
          <w:szCs w:val="24"/>
          <w:lang w:val="en-CA"/>
        </w:rPr>
        <w:t xml:space="preserve"> and</w:t>
      </w:r>
      <w:r w:rsidRPr="00806BB7">
        <w:rPr>
          <w:rFonts w:cs="Times New Roman"/>
          <w:bCs/>
          <w:szCs w:val="24"/>
          <w:lang w:val="en-CA"/>
        </w:rPr>
        <w:t xml:space="preserve"> developmental trajecto</w:t>
      </w:r>
      <w:r w:rsidR="0059584B" w:rsidRPr="00806BB7">
        <w:rPr>
          <w:rFonts w:cs="Times New Roman"/>
          <w:bCs/>
          <w:szCs w:val="24"/>
          <w:lang w:val="en-CA"/>
        </w:rPr>
        <w:t xml:space="preserve">ry </w:t>
      </w:r>
      <w:r w:rsidR="005470E1" w:rsidRPr="00806BB7">
        <w:rPr>
          <w:rFonts w:cs="Times New Roman"/>
          <w:bCs/>
          <w:szCs w:val="24"/>
          <w:lang w:val="en-CA"/>
        </w:rPr>
        <w:t xml:space="preserve">highlight </w:t>
      </w:r>
      <w:r w:rsidRPr="00806BB7">
        <w:rPr>
          <w:rFonts w:cs="Times New Roman"/>
          <w:bCs/>
          <w:szCs w:val="24"/>
          <w:lang w:val="en-CA"/>
        </w:rPr>
        <w:t xml:space="preserve">that </w:t>
      </w:r>
      <w:r w:rsidR="005470E1" w:rsidRPr="00806BB7">
        <w:rPr>
          <w:rFonts w:cs="Times New Roman"/>
          <w:bCs/>
          <w:szCs w:val="24"/>
          <w:lang w:val="en-CA"/>
        </w:rPr>
        <w:t>perceptual</w:t>
      </w:r>
      <w:r w:rsidRPr="00806BB7">
        <w:rPr>
          <w:rFonts w:cs="Times New Roman"/>
          <w:bCs/>
          <w:szCs w:val="24"/>
          <w:lang w:val="en-CA"/>
        </w:rPr>
        <w:t xml:space="preserve"> anchoring may change</w:t>
      </w:r>
      <w:r w:rsidR="005470E1" w:rsidRPr="00806BB7">
        <w:rPr>
          <w:rFonts w:cs="Times New Roman"/>
          <w:bCs/>
          <w:szCs w:val="24"/>
          <w:lang w:val="en-CA"/>
        </w:rPr>
        <w:t>,</w:t>
      </w:r>
      <w:r w:rsidRPr="00806BB7">
        <w:rPr>
          <w:rFonts w:cs="Times New Roman"/>
          <w:bCs/>
          <w:szCs w:val="24"/>
          <w:lang w:val="en-CA"/>
        </w:rPr>
        <w:t xml:space="preserve"> </w:t>
      </w:r>
      <w:r w:rsidR="005470E1" w:rsidRPr="00806BB7">
        <w:rPr>
          <w:rFonts w:cs="Times New Roman"/>
          <w:bCs/>
          <w:szCs w:val="24"/>
          <w:lang w:val="en-CA"/>
        </w:rPr>
        <w:t xml:space="preserve">not only </w:t>
      </w:r>
      <w:r w:rsidRPr="00806BB7">
        <w:rPr>
          <w:rFonts w:cs="Times New Roman"/>
          <w:bCs/>
          <w:szCs w:val="24"/>
          <w:lang w:val="en-CA"/>
        </w:rPr>
        <w:t xml:space="preserve">as a function of </w:t>
      </w:r>
      <w:r w:rsidR="005470E1" w:rsidRPr="00806BB7">
        <w:rPr>
          <w:rFonts w:cs="Times New Roman"/>
          <w:bCs/>
          <w:szCs w:val="24"/>
          <w:lang w:val="en-CA"/>
        </w:rPr>
        <w:t xml:space="preserve">age but also </w:t>
      </w:r>
      <w:r w:rsidR="00E0449C" w:rsidRPr="00806BB7">
        <w:rPr>
          <w:rFonts w:cs="Times New Roman"/>
          <w:bCs/>
          <w:szCs w:val="24"/>
          <w:lang w:val="en-CA"/>
        </w:rPr>
        <w:t>by</w:t>
      </w:r>
      <w:r w:rsidRPr="00806BB7">
        <w:rPr>
          <w:rFonts w:cs="Times New Roman"/>
          <w:bCs/>
          <w:szCs w:val="24"/>
          <w:lang w:val="en-CA"/>
        </w:rPr>
        <w:t xml:space="preserve"> acquired deficits</w:t>
      </w:r>
      <w:r w:rsidR="005470E1" w:rsidRPr="00806BB7">
        <w:rPr>
          <w:rFonts w:cs="Times New Roman"/>
          <w:bCs/>
          <w:szCs w:val="24"/>
          <w:lang w:val="en-CA"/>
        </w:rPr>
        <w:t xml:space="preserve"> (e.g., age-related-hearing loss</w:t>
      </w:r>
      <w:r w:rsidR="00E0449C" w:rsidRPr="00806BB7">
        <w:rPr>
          <w:rFonts w:cs="Times New Roman"/>
          <w:bCs/>
          <w:szCs w:val="24"/>
          <w:lang w:val="en-CA"/>
        </w:rPr>
        <w:t>,</w:t>
      </w:r>
      <w:r w:rsidR="0090215B" w:rsidRPr="00806BB7">
        <w:rPr>
          <w:rFonts w:cs="Times New Roman"/>
          <w:bCs/>
          <w:szCs w:val="24"/>
          <w:lang w:val="en-CA"/>
        </w:rPr>
        <w:t xml:space="preserve"> </w:t>
      </w:r>
      <w:r w:rsidR="0059584B" w:rsidRPr="00806BB7">
        <w:rPr>
          <w:rFonts w:cs="Times New Roman"/>
          <w:bCs/>
          <w:szCs w:val="24"/>
          <w:lang w:val="en-CA"/>
        </w:rPr>
        <w:fldChar w:fldCharType="begin"/>
      </w:r>
      <w:r w:rsidR="00903EDA">
        <w:rPr>
          <w:rFonts w:cs="Times New Roman"/>
          <w:bCs/>
          <w:szCs w:val="24"/>
          <w:lang w:val="en-CA"/>
        </w:rPr>
        <w:instrText xml:space="preserve"> ADDIN ZOTERO_ITEM CSL_CITATION {"citationID":"0VrjxYVy","properties":{"formattedCitation":"(Banai &amp; Yifat, 2011; Karawani et al., 2016; Manheim et al., 2018)","plainCitation":"(Banai &amp; Yifat, 2011; Karawani et al., 2016; Manheim et al., 2018)","dontUpdate":true,"noteIndex":0},"citationItems":[{"id":260,"uris":["http://zotero.org/users/6317667/items/NKC7F4KQ"],"uri":["http://zotero.org/users/6317667/items/NKC7F4KQ"],"itemData":{"id":260,"type":"article-journal","abstract":"Background\nRecent studies suggest that human auditory perception follows a prolonged developmental trajectory, sometimes continuing well into adolescence. Whereas both sensory and cognitive accounts have been proposed, the development of the ability to base current perceptual decisions on prior information, an ability that strongly benefits adult perception, has not been directly explored. Here we ask whether the auditory frequency discrimination of preschool children also improves when given the opportunity to use previously presented standard stimuli as perceptual anchors, and whether the magnitude of this anchoring effect undergoes developmental changes.\n\nMethodology/Principal Findings\nFrequency discrimination was tested using two adaptive same/different protocols. In one protocol (with-reference), a repeated 1-kHz standard tone was presented repeatedly across trials. In the other (no-reference), no such repetitions occurred. Verbal memory and early reading skills were also evaluated to determine if the pattern of correlations between frequency discrimination, memory and literacy is similar to that previously reported in older children and adults. Preschool children were significantly more sensitive in the with-reference than in the no-reference condition, but the magnitude of this anchoring effect was smaller than that observed in adults. The pattern of correlations among discrimination thresholds, memory and literacy replicated previous reports in older children.\n\nConclusions/Significance\nThe processes allowing the use of context to form perceptual anchors are already functional among preschool children, albeit to a lesser extent than in adults. Nevertheless, immature anchoring cannot fully account for the poorer frequency discrimination abilities of young children. That anchoring is present among the majority of typically developing preschool children suggests that the anchoring deficits observed among individuals with dyslexia represent a true deficit rather than a developmental delay.","container-title":"PLoS ONE","DOI":"10.1371/journal.pone.0019769","ISSN":"1932-6203","issue":"5","journalAbbreviation":"PLoS One","note":"PMID: 21603614\nPMCID: PMC3095618","source":"PubMed Central","title":"Perceptual Anchoring in Preschool Children: Not Adultlike, but There","title-short":"Perceptual Anchoring in Preschool Children","URL":"https://www.ncbi.nlm.nih.gov/pmc/articles/PMC3095618/","volume":"6","author":[{"family":"Banai","given":"Karen"},{"family":"Yifat","given":"Rachel"}],"accessed":{"date-parts":[["2020",3,20]]},"issued":{"date-parts":[["2011",5,16]]}}},{"id":264,"uris":["http://zotero.org/users/6317667/items/K2HRKM4I"],"uri":["http://zotero.org/users/6317667/items/K2HRKM4I"],"itemData":{"id":264,"type":"article-journal","abstract":"Introduction : Speech recognition in adverse listening conditions becomes more difficult as we age, particularly for individuals with age-related hearing loss (ARHL). Whether these difficulties can be eased with training remains debated, because it is not clear whether the outcomes are sufficiently general to be of use outside of the training context. The aim of the current study was to compare training-induced learning and generalization between normal-hearing older adults and those with ARHL., Methods : Fifty-six listeners (60–72 y/o), 35 participants with ARHL, and 21 normal hearing adults participated in the study. The study design was a cross over design with three groups (immediate-training, delayed-training, and no-training group). Trained participants received 13 sessions of home-based auditory training over the course of 4 weeks. Three adverse listening conditions were targeted: (1) Speech-in-noise, (2) time compressed speech, and (3) competing speakers, and the outcomes of training were compared between normal and ARHL groups. Pre- and post-test sessions were completed by all participants. Outcome measures included tests on all of the trained conditions as well as on a series of untrained conditions designed to assess the transfer of learning to other speech and non-speech conditions., Results : Significant improvements on all trained conditions were observed in both ARHL and normal-hearing groups over the course of training. Normal hearing participants learned more than participants with ARHL in the speech-in-noise condition, but showed similar patterns of learning in the other conditions. Greater pre- to post-test changes were observed in trained than in untrained listeners on all trained conditions. In addition, the ability of trained listeners from the ARHL group to discriminate minimally different pseudowords in noise also improved with training., Conclusions : ARHL did not preclude auditory perceptual learning but there was little generalization to untrained conditions. We suggest that most training-related changes occurred at higher level task-specific cognitive processes in both groups. However, these were enhanced by high quality perceptual representations in the normal-hearing group. In contrast, some training-related changes have also occurred at the level of phonemic representations in the ARHL group, consistent with an interaction between bottom-up and top-down processes.","container-title":"Frontiers in Psychology","DOI":"10.3389/fpsyg.2015.02066","ISSN":"1664-1078","journalAbbreviation":"Front Psychol","note":"PMID: 26869944\nPMCID: PMC4737899","source":"PubMed Central","title":"Auditory Perceptual Learning in Adults with and without Age-Related Hearing Loss","URL":"https://www.ncbi.nlm.nih.gov/pmc/articles/PMC4737899/","volume":"6","author":[{"family":"Karawani","given":"Hanin"},{"family":"Bitan","given":"Tali"},{"family":"Attias","given":"Joseph"},{"family":"Banai","given":"Karen"}],"accessed":{"date-parts":[["2020",3,20]]},"issued":{"date-parts":[["2016",2,3]]}}},{"id":319,"uris":["http://zotero.org/users/6317667/items/SQDM29ZG"],"uri":["http://zotero.org/users/6317667/items/SQDM29ZG"],"itemData":{"id":319,"type":"article-journal","abstract":"The effects of aging and age-related hearing loss on the ability to learn degraded speech are not well understood. This study was designed to compare the perceptual learning of time-compressed speech and its generalization to natural-fast speech across young adults with normal hearing, older adults with normal hearing, and older adults with age-related hearing loss. Early learning (following brief exposure to time-compressed speech) and later learning (following further training) were compared across groups. Age and age-related hearing loss were both associated with declines in early learning. Although the two groups of older adults improved during the training session, when compared to untrained control groups (matched for age and hearing), learning was weaker in older than in young adults. Especially, the transfer of learning to untrained time-compressed sentences was reduced in both groups of older adults. Transfer of learning to natural-fast speech occurred regardless of age and hearing, but it was limited to sentences encountered during training. Findings are discussed within the framework of dynamic models of speech perception and learning. Based on this framework, we tentatively suggest that age-related declines in learning may stem from age differences in the use of high- and low-level speech cues. These age differences result in weaker early learning in older adults, which may further contribute to the difficulty to perceive speech in daily conversational settings in this population.","container-title":"Trends in Hearing","DOI":"10.1177/2331216518778651","ISSN":"2331-2165","journalAbbreviation":"Trends in Hearing","language":"en","note":"publisher: SAGE Publications Inc","page":"2331216518778651","source":"SAGE Journals","title":"Age, Hearing, and the Perceptual Learning of Rapid Speech","volume":"22","author":[{"family":"Manheim","given":"Maayan"},{"family":"Lavie","given":"Limor"},{"family":"Banai","given":"Karen"}],"issued":{"date-parts":[["2018",1,1]]}}}],"schema":"https://github.com/citation-style-language/schema/raw/master/csl-citation.json"} </w:instrText>
      </w:r>
      <w:r w:rsidR="0059584B" w:rsidRPr="00806BB7">
        <w:rPr>
          <w:rFonts w:cs="Times New Roman"/>
          <w:bCs/>
          <w:szCs w:val="24"/>
          <w:lang w:val="en-CA"/>
        </w:rPr>
        <w:fldChar w:fldCharType="separate"/>
      </w:r>
      <w:r w:rsidR="00F20134" w:rsidRPr="00806BB7">
        <w:rPr>
          <w:rFonts w:cs="Times New Roman"/>
          <w:szCs w:val="24"/>
        </w:rPr>
        <w:t>Banai &amp; Yifat, 2011; Karawani et al., 2016; Manheim et al., 2018)</w:t>
      </w:r>
      <w:r w:rsidR="0059584B" w:rsidRPr="00806BB7">
        <w:rPr>
          <w:rFonts w:cs="Times New Roman"/>
          <w:bCs/>
          <w:szCs w:val="24"/>
          <w:lang w:val="en-CA"/>
        </w:rPr>
        <w:fldChar w:fldCharType="end"/>
      </w:r>
      <w:r w:rsidRPr="00806BB7">
        <w:rPr>
          <w:rFonts w:cs="Times New Roman"/>
          <w:bCs/>
          <w:szCs w:val="24"/>
          <w:lang w:val="en-CA"/>
        </w:rPr>
        <w:t>. Further, if we agree that reading impairment occurs across a continuum</w:t>
      </w:r>
      <w:r w:rsidR="00AF694F">
        <w:rPr>
          <w:rFonts w:cs="Times New Roman"/>
          <w:bCs/>
          <w:szCs w:val="24"/>
          <w:lang w:val="en-CA"/>
        </w:rPr>
        <w:t>,</w:t>
      </w:r>
      <w:r w:rsidRPr="00806BB7">
        <w:rPr>
          <w:rFonts w:cs="Times New Roman"/>
          <w:bCs/>
          <w:szCs w:val="24"/>
          <w:lang w:val="en-CA"/>
        </w:rPr>
        <w:t xml:space="preserve"> then assessments should include a broader array of reading tests that help specify individual reading strengths and weaknesses and better describe the variability in our population </w:t>
      </w:r>
      <w:r w:rsidR="00203D02" w:rsidRPr="00806BB7">
        <w:rPr>
          <w:rFonts w:cs="Times New Roman"/>
          <w:bCs/>
          <w:szCs w:val="24"/>
          <w:lang w:val="en-CA"/>
        </w:rPr>
        <w:t>samples. This</w:t>
      </w:r>
      <w:r w:rsidR="00AF694F">
        <w:rPr>
          <w:rFonts w:cs="Times New Roman"/>
          <w:bCs/>
          <w:szCs w:val="24"/>
          <w:lang w:val="en-CA"/>
        </w:rPr>
        <w:t>,</w:t>
      </w:r>
      <w:r w:rsidRPr="00806BB7">
        <w:rPr>
          <w:rFonts w:cs="Times New Roman"/>
          <w:bCs/>
          <w:szCs w:val="24"/>
          <w:lang w:val="en-CA"/>
        </w:rPr>
        <w:t xml:space="preserve"> in turn</w:t>
      </w:r>
      <w:r w:rsidR="00AF694F">
        <w:rPr>
          <w:rFonts w:cs="Times New Roman"/>
          <w:bCs/>
          <w:szCs w:val="24"/>
          <w:lang w:val="en-CA"/>
        </w:rPr>
        <w:t>,</w:t>
      </w:r>
      <w:r w:rsidRPr="00806BB7">
        <w:rPr>
          <w:rFonts w:cs="Times New Roman"/>
          <w:bCs/>
          <w:szCs w:val="24"/>
          <w:lang w:val="en-CA"/>
        </w:rPr>
        <w:t xml:space="preserve"> will allow for a more focussed development of the hypotheses aimed at </w:t>
      </w:r>
      <w:r w:rsidR="00A2388E" w:rsidRPr="00806BB7">
        <w:rPr>
          <w:rFonts w:cs="Times New Roman"/>
          <w:bCs/>
          <w:szCs w:val="24"/>
          <w:lang w:val="en-CA"/>
        </w:rPr>
        <w:t>detailing</w:t>
      </w:r>
      <w:r w:rsidR="00806BB7">
        <w:rPr>
          <w:rFonts w:cs="Times New Roman"/>
          <w:bCs/>
          <w:szCs w:val="24"/>
          <w:lang w:val="en-CA"/>
        </w:rPr>
        <w:t xml:space="preserve"> </w:t>
      </w:r>
      <w:r w:rsidR="00A2388E" w:rsidRPr="00806BB7">
        <w:rPr>
          <w:rFonts w:cs="Times New Roman"/>
          <w:bCs/>
          <w:szCs w:val="24"/>
          <w:lang w:val="en-CA"/>
        </w:rPr>
        <w:t xml:space="preserve">anchoring processes and </w:t>
      </w:r>
      <w:r w:rsidR="00203D02" w:rsidRPr="00806BB7">
        <w:rPr>
          <w:rFonts w:cs="Times New Roman"/>
          <w:bCs/>
          <w:szCs w:val="24"/>
          <w:lang w:val="en-CA"/>
        </w:rPr>
        <w:t>how they may be implicated in various dyslexia subtypes</w:t>
      </w:r>
      <w:r w:rsidRPr="00806BB7">
        <w:rPr>
          <w:rFonts w:cs="Times New Roman"/>
          <w:bCs/>
          <w:szCs w:val="24"/>
          <w:lang w:val="en-CA"/>
        </w:rPr>
        <w:t xml:space="preserve">. </w:t>
      </w:r>
    </w:p>
    <w:p w14:paraId="1FB116F5" w14:textId="56A8BF18" w:rsidR="00884B52" w:rsidRPr="00806BB7" w:rsidRDefault="00884B52" w:rsidP="00884B52">
      <w:pPr>
        <w:pStyle w:val="Heading1"/>
        <w:rPr>
          <w:bCs/>
          <w:szCs w:val="24"/>
          <w:lang w:val="en-CA"/>
        </w:rPr>
      </w:pPr>
      <w:bookmarkStart w:id="32" w:name="_Toc39065456"/>
      <w:r w:rsidRPr="00806BB7">
        <w:rPr>
          <w:szCs w:val="24"/>
          <w:lang w:val="en-CA"/>
        </w:rPr>
        <w:t>Conclusion</w:t>
      </w:r>
      <w:bookmarkEnd w:id="32"/>
    </w:p>
    <w:p w14:paraId="67CA8267" w14:textId="4D7E1F22" w:rsidR="00884B52" w:rsidRPr="00806BB7" w:rsidRDefault="00C93014" w:rsidP="00884B52">
      <w:pPr>
        <w:contextualSpacing/>
        <w:rPr>
          <w:rFonts w:cs="Times New Roman"/>
          <w:b/>
          <w:bCs/>
          <w:szCs w:val="24"/>
        </w:rPr>
      </w:pPr>
      <w:r>
        <w:rPr>
          <w:rFonts w:cs="Times New Roman"/>
          <w:bCs/>
          <w:szCs w:val="24"/>
          <w:lang w:val="en-CA"/>
        </w:rPr>
        <w:t xml:space="preserve">We report a narrative and quantitative synthesis of decreased performance in perceptual anchoring tasks for </w:t>
      </w:r>
      <w:r w:rsidR="0046318B">
        <w:rPr>
          <w:rFonts w:cs="Times New Roman"/>
          <w:bCs/>
          <w:szCs w:val="24"/>
          <w:lang w:val="en-CA"/>
        </w:rPr>
        <w:t>a sub-group of the dyslexia population</w:t>
      </w:r>
      <w:r>
        <w:rPr>
          <w:rFonts w:cs="Times New Roman"/>
          <w:bCs/>
          <w:szCs w:val="24"/>
          <w:lang w:val="en-CA"/>
        </w:rPr>
        <w:t xml:space="preserve"> relative to typical reading controls. </w:t>
      </w:r>
      <w:r w:rsidR="00884B52" w:rsidRPr="00806BB7">
        <w:rPr>
          <w:rFonts w:cs="Times New Roman"/>
          <w:bCs/>
          <w:szCs w:val="24"/>
          <w:lang w:val="en-CA"/>
        </w:rPr>
        <w:t xml:space="preserve">Based </w:t>
      </w:r>
      <w:r w:rsidR="0046318B">
        <w:rPr>
          <w:rFonts w:cs="Times New Roman"/>
          <w:bCs/>
          <w:szCs w:val="24"/>
          <w:lang w:val="en-CA"/>
        </w:rPr>
        <w:t xml:space="preserve">on </w:t>
      </w:r>
      <w:r>
        <w:rPr>
          <w:rFonts w:cs="Times New Roman"/>
          <w:bCs/>
          <w:szCs w:val="24"/>
          <w:lang w:val="en-CA"/>
        </w:rPr>
        <w:t>these findings</w:t>
      </w:r>
      <w:r w:rsidR="0021744C" w:rsidRPr="00806BB7">
        <w:rPr>
          <w:rFonts w:cs="Times New Roman"/>
          <w:bCs/>
          <w:szCs w:val="24"/>
          <w:lang w:val="en-CA"/>
        </w:rPr>
        <w:t>,</w:t>
      </w:r>
      <w:r w:rsidR="00884B52" w:rsidRPr="00806BB7">
        <w:rPr>
          <w:rFonts w:cs="Times New Roman"/>
          <w:bCs/>
          <w:szCs w:val="24"/>
          <w:lang w:val="en-CA"/>
        </w:rPr>
        <w:t xml:space="preserve"> and current state of the literature</w:t>
      </w:r>
      <w:r>
        <w:rPr>
          <w:rFonts w:cs="Times New Roman"/>
          <w:bCs/>
          <w:szCs w:val="24"/>
          <w:lang w:val="en-CA"/>
        </w:rPr>
        <w:t xml:space="preserve">, </w:t>
      </w:r>
      <w:r w:rsidR="00884B52" w:rsidRPr="00806BB7">
        <w:rPr>
          <w:rFonts w:cs="Times New Roman"/>
          <w:bCs/>
          <w:szCs w:val="24"/>
          <w:lang w:val="en-CA"/>
        </w:rPr>
        <w:t xml:space="preserve">we hold that the anchoring </w:t>
      </w:r>
      <w:r w:rsidR="0094199C" w:rsidRPr="00806BB7">
        <w:rPr>
          <w:rFonts w:cs="Times New Roman"/>
          <w:bCs/>
          <w:szCs w:val="24"/>
          <w:lang w:val="en-CA"/>
        </w:rPr>
        <w:t xml:space="preserve">deficit </w:t>
      </w:r>
      <w:r w:rsidR="00F97BC0" w:rsidRPr="00806BB7">
        <w:rPr>
          <w:rFonts w:cs="Times New Roman"/>
          <w:bCs/>
          <w:szCs w:val="24"/>
          <w:lang w:val="en-CA"/>
        </w:rPr>
        <w:t xml:space="preserve">hypothesis </w:t>
      </w:r>
      <w:r w:rsidR="0094199C" w:rsidRPr="00806BB7">
        <w:rPr>
          <w:rFonts w:cs="Times New Roman"/>
          <w:bCs/>
          <w:szCs w:val="24"/>
          <w:lang w:val="en-CA"/>
        </w:rPr>
        <w:t xml:space="preserve">remains a </w:t>
      </w:r>
      <w:r w:rsidR="00884B52" w:rsidRPr="00806BB7">
        <w:rPr>
          <w:rFonts w:cs="Times New Roman"/>
          <w:bCs/>
          <w:szCs w:val="24"/>
          <w:lang w:val="en-CA"/>
        </w:rPr>
        <w:t xml:space="preserve">productive and </w:t>
      </w:r>
      <w:r w:rsidR="0094199C" w:rsidRPr="00806BB7">
        <w:rPr>
          <w:rFonts w:cs="Times New Roman"/>
          <w:bCs/>
          <w:szCs w:val="24"/>
          <w:lang w:val="en-CA"/>
        </w:rPr>
        <w:t xml:space="preserve">valuable </w:t>
      </w:r>
      <w:r w:rsidR="00884B52" w:rsidRPr="00806BB7">
        <w:rPr>
          <w:rFonts w:cs="Times New Roman"/>
          <w:bCs/>
          <w:szCs w:val="24"/>
          <w:lang w:val="en-CA"/>
        </w:rPr>
        <w:t>line of enquiry</w:t>
      </w:r>
      <w:r w:rsidR="00AF694F">
        <w:rPr>
          <w:rFonts w:cs="Times New Roman"/>
          <w:bCs/>
          <w:szCs w:val="24"/>
          <w:lang w:val="en-CA"/>
        </w:rPr>
        <w:t xml:space="preserve"> toward </w:t>
      </w:r>
      <w:r w:rsidR="0046318B">
        <w:rPr>
          <w:rFonts w:cs="Times New Roman"/>
          <w:bCs/>
          <w:szCs w:val="24"/>
          <w:lang w:val="en-CA"/>
        </w:rPr>
        <w:t xml:space="preserve">better </w:t>
      </w:r>
      <w:r w:rsidR="00AF694F">
        <w:rPr>
          <w:rFonts w:cs="Times New Roman"/>
          <w:bCs/>
          <w:szCs w:val="24"/>
          <w:lang w:val="en-CA"/>
        </w:rPr>
        <w:t xml:space="preserve">understanding </w:t>
      </w:r>
      <w:r w:rsidR="0046318B">
        <w:rPr>
          <w:rFonts w:cs="Times New Roman"/>
          <w:bCs/>
          <w:szCs w:val="24"/>
          <w:lang w:val="en-CA"/>
        </w:rPr>
        <w:t xml:space="preserve">the </w:t>
      </w:r>
      <w:r w:rsidR="00D658B7">
        <w:rPr>
          <w:rFonts w:cs="Times New Roman"/>
          <w:bCs/>
          <w:szCs w:val="24"/>
          <w:lang w:val="en-CA"/>
        </w:rPr>
        <w:t>heterogeneous nature of dyslexia and its causes</w:t>
      </w:r>
      <w:r w:rsidR="00486575" w:rsidRPr="00806BB7">
        <w:rPr>
          <w:rFonts w:cs="Times New Roman"/>
          <w:bCs/>
          <w:szCs w:val="24"/>
          <w:lang w:val="en-CA"/>
        </w:rPr>
        <w:t>.</w:t>
      </w:r>
      <w:r w:rsidR="00884B52" w:rsidRPr="00806BB7">
        <w:rPr>
          <w:rFonts w:cs="Times New Roman"/>
          <w:szCs w:val="24"/>
          <w:lang w:val="en-US"/>
        </w:rPr>
        <w:t xml:space="preserve"> </w:t>
      </w:r>
      <w:r w:rsidR="00884B52" w:rsidRPr="00806BB7">
        <w:rPr>
          <w:rFonts w:cs="Times New Roman"/>
          <w:bCs/>
          <w:szCs w:val="24"/>
          <w:lang w:val="en-CA"/>
        </w:rPr>
        <w:t xml:space="preserve">Future exploration, and </w:t>
      </w:r>
      <w:r w:rsidR="00884B52" w:rsidRPr="00806BB7">
        <w:rPr>
          <w:rFonts w:cs="Times New Roman"/>
          <w:bCs/>
          <w:szCs w:val="24"/>
          <w:lang w:val="en-CA"/>
        </w:rPr>
        <w:lastRenderedPageBreak/>
        <w:t xml:space="preserve">subsequent replications, should strive for greater sensitivity in their experimental design and for </w:t>
      </w:r>
      <w:r w:rsidR="00526D5A" w:rsidRPr="00806BB7">
        <w:rPr>
          <w:rFonts w:cs="Times New Roman"/>
          <w:bCs/>
          <w:szCs w:val="24"/>
          <w:lang w:val="en-CA"/>
        </w:rPr>
        <w:t xml:space="preserve">methodological </w:t>
      </w:r>
      <w:r w:rsidR="00DA3528" w:rsidRPr="00806BB7">
        <w:rPr>
          <w:rFonts w:cs="Times New Roman"/>
          <w:bCs/>
          <w:szCs w:val="24"/>
          <w:lang w:val="en-CA"/>
        </w:rPr>
        <w:t>approaches that</w:t>
      </w:r>
      <w:r w:rsidR="00884B52" w:rsidRPr="00806BB7">
        <w:rPr>
          <w:rFonts w:cs="Times New Roman"/>
          <w:bCs/>
          <w:szCs w:val="24"/>
          <w:lang w:val="en-CA"/>
        </w:rPr>
        <w:t xml:space="preserve"> reflect th</w:t>
      </w:r>
      <w:r w:rsidR="00341890">
        <w:rPr>
          <w:rFonts w:cs="Times New Roman"/>
          <w:bCs/>
          <w:szCs w:val="24"/>
          <w:lang w:val="en-CA"/>
        </w:rPr>
        <w:t>e</w:t>
      </w:r>
      <w:r w:rsidR="00884B52" w:rsidRPr="00806BB7">
        <w:rPr>
          <w:rFonts w:cs="Times New Roman"/>
          <w:bCs/>
          <w:szCs w:val="24"/>
          <w:lang w:val="en-CA"/>
        </w:rPr>
        <w:t xml:space="preserve"> inherent variability in the </w:t>
      </w:r>
      <w:r w:rsidR="00D91C40">
        <w:rPr>
          <w:rFonts w:cs="Times New Roman"/>
          <w:bCs/>
          <w:szCs w:val="24"/>
          <w:lang w:val="en-CA"/>
        </w:rPr>
        <w:t xml:space="preserve">dyslexia </w:t>
      </w:r>
      <w:r w:rsidR="002F6AA5">
        <w:rPr>
          <w:rFonts w:cs="Times New Roman"/>
          <w:bCs/>
          <w:szCs w:val="24"/>
          <w:lang w:val="en-CA"/>
        </w:rPr>
        <w:t>population.</w:t>
      </w:r>
    </w:p>
    <w:p w14:paraId="00432F0F" w14:textId="20A54DA6" w:rsidR="00C42B51" w:rsidRPr="00806BB7" w:rsidRDefault="00C42B51" w:rsidP="00884B52">
      <w:pPr>
        <w:rPr>
          <w:szCs w:val="24"/>
        </w:rPr>
      </w:pPr>
      <w:r w:rsidRPr="00806BB7">
        <w:rPr>
          <w:szCs w:val="24"/>
        </w:rPr>
        <w:br w:type="page"/>
      </w:r>
    </w:p>
    <w:p w14:paraId="6601FC7A" w14:textId="77777777" w:rsidR="00F60D59" w:rsidRDefault="00F60D59" w:rsidP="00C9277A">
      <w:pPr>
        <w:pStyle w:val="Heading1"/>
        <w:rPr>
          <w:szCs w:val="24"/>
        </w:rPr>
      </w:pPr>
      <w:bookmarkStart w:id="33" w:name="_Toc39065457"/>
      <w:r>
        <w:rPr>
          <w:szCs w:val="24"/>
        </w:rPr>
        <w:lastRenderedPageBreak/>
        <w:t>Acknowledgements</w:t>
      </w:r>
    </w:p>
    <w:p w14:paraId="4C4F2689" w14:textId="1F397F6A" w:rsidR="00F60D59" w:rsidRPr="00F60D59" w:rsidRDefault="00F60D59" w:rsidP="00F60D59">
      <w:pPr>
        <w:rPr>
          <w:lang w:val="en-CA"/>
        </w:rPr>
      </w:pPr>
      <w:r>
        <w:t xml:space="preserve">Funding: </w:t>
      </w:r>
      <w:r w:rsidRPr="00F60D59">
        <w:rPr>
          <w:lang w:val="en-US"/>
        </w:rPr>
        <w:t>This work was supported by the</w:t>
      </w:r>
      <w:r>
        <w:rPr>
          <w:lang w:val="en-US"/>
        </w:rPr>
        <w:t xml:space="preserve"> </w:t>
      </w:r>
      <w:r w:rsidRPr="00F60D59">
        <w:rPr>
          <w:lang w:val="en-US"/>
        </w:rPr>
        <w:t xml:space="preserve">Australian Research Council Discovery Project </w:t>
      </w:r>
      <w:r w:rsidR="00586A6D">
        <w:rPr>
          <w:lang w:val="en-US"/>
        </w:rPr>
        <w:t>[</w:t>
      </w:r>
      <w:r w:rsidR="00586A6D" w:rsidRPr="00F60D59">
        <w:rPr>
          <w:lang w:val="en-US"/>
        </w:rPr>
        <w:t>DP180102524</w:t>
      </w:r>
      <w:r w:rsidR="00586A6D">
        <w:rPr>
          <w:lang w:val="en-US"/>
        </w:rPr>
        <w:t>].</w:t>
      </w:r>
    </w:p>
    <w:p w14:paraId="7BF99AD1" w14:textId="1ED3A22F" w:rsidR="000F7585" w:rsidRDefault="00F60D59" w:rsidP="00F60D59">
      <w:r>
        <w:t xml:space="preserve"> </w:t>
      </w:r>
    </w:p>
    <w:p w14:paraId="3801B4E0" w14:textId="77777777" w:rsidR="000F7585" w:rsidRDefault="000F7585">
      <w:pPr>
        <w:spacing w:after="160" w:line="259" w:lineRule="auto"/>
        <w:ind w:firstLine="0"/>
      </w:pPr>
      <w:r>
        <w:br w:type="page"/>
      </w:r>
    </w:p>
    <w:p w14:paraId="66712CE1" w14:textId="77777777" w:rsidR="00F60D59" w:rsidRDefault="00F60D59" w:rsidP="00F60D59"/>
    <w:p w14:paraId="00A0A450" w14:textId="598FC807" w:rsidR="00884B52" w:rsidRPr="00806BB7" w:rsidRDefault="00C9277A" w:rsidP="00C9277A">
      <w:pPr>
        <w:pStyle w:val="Heading1"/>
        <w:rPr>
          <w:szCs w:val="24"/>
        </w:rPr>
      </w:pPr>
      <w:r w:rsidRPr="00806BB7">
        <w:rPr>
          <w:szCs w:val="24"/>
        </w:rPr>
        <w:t>References</w:t>
      </w:r>
      <w:bookmarkEnd w:id="33"/>
    </w:p>
    <w:p w14:paraId="5B7680FF" w14:textId="77777777" w:rsidR="00134D7F" w:rsidRDefault="004D2116" w:rsidP="00134D7F">
      <w:pPr>
        <w:pStyle w:val="Bibliography"/>
      </w:pPr>
      <w:r w:rsidRPr="00806BB7">
        <w:fldChar w:fldCharType="begin"/>
      </w:r>
      <w:r w:rsidRPr="00806BB7">
        <w:instrText xml:space="preserve"> ADDIN ZOTERO_BIBL {"uncited":[],"omitted":[],"custom":[]} CSL_BIBLIOGRAPHY </w:instrText>
      </w:r>
      <w:r w:rsidRPr="00806BB7">
        <w:fldChar w:fldCharType="separate"/>
      </w:r>
      <w:r w:rsidR="00134D7F">
        <w:t xml:space="preserve">Agus, T. R., Carrión-Castillo, A., Pressnitzer, D., &amp; Ramus, F. (2014). Perceptual learning of acoustic noise by individuals with dyslexia. </w:t>
      </w:r>
      <w:r w:rsidR="00134D7F">
        <w:rPr>
          <w:i/>
          <w:iCs/>
        </w:rPr>
        <w:t>Journal of Speech, Language, and Hearing Research: JSLHR</w:t>
      </w:r>
      <w:r w:rsidR="00134D7F">
        <w:t xml:space="preserve">, </w:t>
      </w:r>
      <w:r w:rsidR="00134D7F">
        <w:rPr>
          <w:i/>
          <w:iCs/>
        </w:rPr>
        <w:t>57</w:t>
      </w:r>
      <w:r w:rsidR="00134D7F">
        <w:t>(3), 1069–1077. https://doi.org/10.1044/1092-4388(2013/13-0020)</w:t>
      </w:r>
    </w:p>
    <w:p w14:paraId="6C3F8F20" w14:textId="77777777" w:rsidR="00134D7F" w:rsidRDefault="00134D7F" w:rsidP="00134D7F">
      <w:pPr>
        <w:pStyle w:val="Bibliography"/>
      </w:pPr>
      <w:r>
        <w:t xml:space="preserve">Agus, T. R., Thorpe, S. J., &amp; Pressnitzer, D. (2010). Rapid Formation of Robust Auditory Memories: Insights from Noise. </w:t>
      </w:r>
      <w:r>
        <w:rPr>
          <w:i/>
          <w:iCs/>
        </w:rPr>
        <w:t>Neuron</w:t>
      </w:r>
      <w:r>
        <w:t xml:space="preserve">, </w:t>
      </w:r>
      <w:r>
        <w:rPr>
          <w:i/>
          <w:iCs/>
        </w:rPr>
        <w:t>66</w:t>
      </w:r>
      <w:r>
        <w:t>(4), 610–618. https://doi.org/10.1016/j.neuron.2010.04.014</w:t>
      </w:r>
    </w:p>
    <w:p w14:paraId="5D62AC52" w14:textId="77777777" w:rsidR="00134D7F" w:rsidRDefault="00134D7F" w:rsidP="00134D7F">
      <w:pPr>
        <w:pStyle w:val="Bibliography"/>
      </w:pPr>
      <w:r>
        <w:t xml:space="preserve">Ahissar, M., Protopapas, A., Reid, M., &amp; Merzenich, M. M. (2000). Auditory processing parallels reading abilities in adults. </w:t>
      </w:r>
      <w:r>
        <w:rPr>
          <w:i/>
          <w:iCs/>
        </w:rPr>
        <w:t>Proceedings of the National Academy of Sciences of the United States of America</w:t>
      </w:r>
      <w:r>
        <w:t xml:space="preserve">, </w:t>
      </w:r>
      <w:r>
        <w:rPr>
          <w:i/>
          <w:iCs/>
        </w:rPr>
        <w:t>97</w:t>
      </w:r>
      <w:r>
        <w:t>(12), 6832–6837. https://doi.org/10.1073/pnas.97.12.6832</w:t>
      </w:r>
    </w:p>
    <w:p w14:paraId="2D799CA2" w14:textId="77777777" w:rsidR="00134D7F" w:rsidRDefault="00134D7F" w:rsidP="00134D7F">
      <w:pPr>
        <w:pStyle w:val="Bibliography"/>
      </w:pPr>
      <w:r>
        <w:t xml:space="preserve">Ahissar, Merav. (2007). Dyslexia and the anchoring-deficit hypothesis. </w:t>
      </w:r>
      <w:r>
        <w:rPr>
          <w:i/>
          <w:iCs/>
        </w:rPr>
        <w:t>Trends in Cognitive Sciences</w:t>
      </w:r>
      <w:r>
        <w:t xml:space="preserve">, </w:t>
      </w:r>
      <w:r>
        <w:rPr>
          <w:i/>
          <w:iCs/>
        </w:rPr>
        <w:t>11</w:t>
      </w:r>
      <w:r>
        <w:t>(11), 458–465. https://doi.org/10.1016/j.tics.2007.08.015</w:t>
      </w:r>
    </w:p>
    <w:p w14:paraId="2D7ABA56" w14:textId="77777777" w:rsidR="00134D7F" w:rsidRDefault="00134D7F" w:rsidP="00134D7F">
      <w:pPr>
        <w:pStyle w:val="Bibliography"/>
      </w:pPr>
      <w:r>
        <w:t xml:space="preserve">Ahissar, Merav, Lubin, Y., Putter-Katz, H., &amp; Banai, K. (2006). Dyslexia and the failure to form a perceptual anchor. </w:t>
      </w:r>
      <w:r>
        <w:rPr>
          <w:i/>
          <w:iCs/>
        </w:rPr>
        <w:t>Nature Neuroscience</w:t>
      </w:r>
      <w:r>
        <w:t xml:space="preserve">, </w:t>
      </w:r>
      <w:r>
        <w:rPr>
          <w:i/>
          <w:iCs/>
        </w:rPr>
        <w:t>9</w:t>
      </w:r>
      <w:r>
        <w:t>(12), 1558–1564. https://doi.org/10.1038/nn1800</w:t>
      </w:r>
    </w:p>
    <w:p w14:paraId="584B33A8" w14:textId="77777777" w:rsidR="00134D7F" w:rsidRDefault="00134D7F" w:rsidP="00134D7F">
      <w:pPr>
        <w:pStyle w:val="Bibliography"/>
      </w:pPr>
      <w:r>
        <w:t xml:space="preserve">American Psychiatric Association. (2013). </w:t>
      </w:r>
      <w:r>
        <w:rPr>
          <w:i/>
          <w:iCs/>
        </w:rPr>
        <w:t>Diagnostic and Statistical Manual of Mental Disorders</w:t>
      </w:r>
      <w:r>
        <w:t xml:space="preserve"> (Fifth Edition). American Psychiatric Association. https://doi.org/10.1176/appi.books.9780890425596</w:t>
      </w:r>
    </w:p>
    <w:p w14:paraId="580999A2" w14:textId="77777777" w:rsidR="00134D7F" w:rsidRDefault="00134D7F" w:rsidP="00134D7F">
      <w:pPr>
        <w:pStyle w:val="Bibliography"/>
      </w:pPr>
      <w:r>
        <w:t xml:space="preserve">Banai, K., &amp; Ahissar, M. (2006). Auditory Processing Deficits in Dyslexia: Task or Stimulus Related? </w:t>
      </w:r>
      <w:r>
        <w:rPr>
          <w:i/>
          <w:iCs/>
        </w:rPr>
        <w:t>Cerebral Cortex</w:t>
      </w:r>
      <w:r>
        <w:t xml:space="preserve">, </w:t>
      </w:r>
      <w:r>
        <w:rPr>
          <w:i/>
          <w:iCs/>
        </w:rPr>
        <w:t>16</w:t>
      </w:r>
      <w:r>
        <w:t>(12), 1718–1728. https://doi.org/10.1093/cercor/bhj107</w:t>
      </w:r>
    </w:p>
    <w:p w14:paraId="0357C162" w14:textId="77777777" w:rsidR="00134D7F" w:rsidRDefault="00134D7F" w:rsidP="00134D7F">
      <w:pPr>
        <w:pStyle w:val="Bibliography"/>
      </w:pPr>
      <w:r>
        <w:t xml:space="preserve">Banai, K., &amp; Ahissar, M. (2010). On the importance of anchoring and the consequences of its impairment in dyslexia. </w:t>
      </w:r>
      <w:r>
        <w:rPr>
          <w:i/>
          <w:iCs/>
        </w:rPr>
        <w:t>Dyslexia</w:t>
      </w:r>
      <w:r>
        <w:t xml:space="preserve">, </w:t>
      </w:r>
      <w:r>
        <w:rPr>
          <w:i/>
          <w:iCs/>
        </w:rPr>
        <w:t>16</w:t>
      </w:r>
      <w:r>
        <w:t>(3), 240–257. https://doi.org/10.1002/dys.407</w:t>
      </w:r>
    </w:p>
    <w:p w14:paraId="58A284CC" w14:textId="77777777" w:rsidR="00134D7F" w:rsidRDefault="00134D7F" w:rsidP="00134D7F">
      <w:pPr>
        <w:pStyle w:val="Bibliography"/>
      </w:pPr>
      <w:r>
        <w:lastRenderedPageBreak/>
        <w:t xml:space="preserve">Banai, K., &amp; Yifat, R. (2011). Perceptual Anchoring in Preschool Children: Not Adultlike, but There. </w:t>
      </w:r>
      <w:r>
        <w:rPr>
          <w:i/>
          <w:iCs/>
        </w:rPr>
        <w:t>PLoS ONE</w:t>
      </w:r>
      <w:r>
        <w:t xml:space="preserve">, </w:t>
      </w:r>
      <w:r>
        <w:rPr>
          <w:i/>
          <w:iCs/>
        </w:rPr>
        <w:t>6</w:t>
      </w:r>
      <w:r>
        <w:t>(5). https://doi.org/10.1371/journal.pone.0019769</w:t>
      </w:r>
    </w:p>
    <w:p w14:paraId="6DCD68CA" w14:textId="77777777" w:rsidR="00134D7F" w:rsidRDefault="00134D7F" w:rsidP="00134D7F">
      <w:pPr>
        <w:pStyle w:val="Bibliography"/>
      </w:pPr>
      <w:r>
        <w:t xml:space="preserve">Borenstein, M, Hedges, L., Higgins, J., &amp; Rothstein, H. (2009). Reporting the results of a meta-analysis. </w:t>
      </w:r>
      <w:r>
        <w:rPr>
          <w:i/>
          <w:iCs/>
        </w:rPr>
        <w:t>Introduction to Meta-Analysis. 1st Ed. John Wiley and Sons</w:t>
      </w:r>
      <w:r>
        <w:t>, 365–70.</w:t>
      </w:r>
    </w:p>
    <w:p w14:paraId="7C39EFAF" w14:textId="77777777" w:rsidR="00134D7F" w:rsidRDefault="00134D7F" w:rsidP="00134D7F">
      <w:pPr>
        <w:pStyle w:val="Bibliography"/>
      </w:pPr>
      <w:r>
        <w:t xml:space="preserve">Borenstein, Michael, Higgins, J. P. T., Hedges, L. V., &amp; Rothstein, H. R. (2017). Basics of meta-analysis: I2 is not an absolute measure of heterogeneity. </w:t>
      </w:r>
      <w:r>
        <w:rPr>
          <w:i/>
          <w:iCs/>
        </w:rPr>
        <w:t>Research Synthesis Methods</w:t>
      </w:r>
      <w:r>
        <w:t xml:space="preserve">, </w:t>
      </w:r>
      <w:r>
        <w:rPr>
          <w:i/>
          <w:iCs/>
        </w:rPr>
        <w:t>8</w:t>
      </w:r>
      <w:r>
        <w:t>(1), 5–18. https://doi.org/10.1002/jrsm.1230</w:t>
      </w:r>
    </w:p>
    <w:p w14:paraId="55AD18C4" w14:textId="77777777" w:rsidR="00134D7F" w:rsidRDefault="00134D7F" w:rsidP="00134D7F">
      <w:pPr>
        <w:pStyle w:val="Bibliography"/>
      </w:pPr>
      <w:r>
        <w:t xml:space="preserve">Brunsdon, R., Coltheart, M., &amp; Nickels, L. (2006). Severe developmental letter-processing impairment: A treatment case study. </w:t>
      </w:r>
      <w:r>
        <w:rPr>
          <w:i/>
          <w:iCs/>
        </w:rPr>
        <w:t>Cognitive Neuropsychology</w:t>
      </w:r>
      <w:r>
        <w:t xml:space="preserve">, </w:t>
      </w:r>
      <w:r>
        <w:rPr>
          <w:i/>
          <w:iCs/>
        </w:rPr>
        <w:t>23</w:t>
      </w:r>
      <w:r>
        <w:t>(6), 795–821. https://doi.org/10.1080/02643290500310863</w:t>
      </w:r>
    </w:p>
    <w:p w14:paraId="6C9BEB58" w14:textId="77777777" w:rsidR="00134D7F" w:rsidRDefault="00134D7F" w:rsidP="00134D7F">
      <w:pPr>
        <w:pStyle w:val="Bibliography"/>
      </w:pPr>
      <w:r>
        <w:t xml:space="preserve">Buchanan, E. M., Gillenwaters, A. M., Scofield, J. E., &amp; Valentine, K. D. (2019). </w:t>
      </w:r>
      <w:r>
        <w:rPr>
          <w:i/>
          <w:iCs/>
        </w:rPr>
        <w:t>MOTE: Effect Size and Confidence Interval Calculator</w:t>
      </w:r>
      <w:r>
        <w:t xml:space="preserve"> (1.0.2) [Computer software]. https://CRAN.R-project.org/package=MOTE</w:t>
      </w:r>
    </w:p>
    <w:p w14:paraId="34A08E7F" w14:textId="77777777" w:rsidR="00134D7F" w:rsidRDefault="00134D7F" w:rsidP="00134D7F">
      <w:pPr>
        <w:pStyle w:val="Bibliography"/>
      </w:pPr>
      <w:r>
        <w:t xml:space="preserve">Castles, A. (1996). Cognitive Correlates of Developmental Surface Dyslexia: A Single Case Study. </w:t>
      </w:r>
      <w:r>
        <w:rPr>
          <w:i/>
          <w:iCs/>
        </w:rPr>
        <w:t>Cognitive Neuropsychology</w:t>
      </w:r>
      <w:r>
        <w:t xml:space="preserve">, </w:t>
      </w:r>
      <w:r>
        <w:rPr>
          <w:i/>
          <w:iCs/>
        </w:rPr>
        <w:t>13</w:t>
      </w:r>
      <w:r>
        <w:t>(1), 25–50. https://doi.org/10.1080/026432996382051</w:t>
      </w:r>
    </w:p>
    <w:p w14:paraId="0E877DF9" w14:textId="77777777" w:rsidR="00134D7F" w:rsidRDefault="00134D7F" w:rsidP="00134D7F">
      <w:pPr>
        <w:pStyle w:val="Bibliography"/>
      </w:pPr>
      <w:r>
        <w:t xml:space="preserve">Castles, A., &amp; Coltheart, M. (1993). Varieties of developmental dyslexia. </w:t>
      </w:r>
      <w:r>
        <w:rPr>
          <w:i/>
          <w:iCs/>
        </w:rPr>
        <w:t>Cognition</w:t>
      </w:r>
      <w:r>
        <w:t xml:space="preserve">, </w:t>
      </w:r>
      <w:r>
        <w:rPr>
          <w:i/>
          <w:iCs/>
        </w:rPr>
        <w:t>47</w:t>
      </w:r>
      <w:r>
        <w:t>(2), 149–180. https://doi.org/10.1016/0010-0277(93)90003-E</w:t>
      </w:r>
    </w:p>
    <w:p w14:paraId="7EF87924" w14:textId="77777777" w:rsidR="00134D7F" w:rsidRDefault="00134D7F" w:rsidP="00134D7F">
      <w:pPr>
        <w:pStyle w:val="Bibliography"/>
      </w:pPr>
      <w:r>
        <w:t xml:space="preserve">Catts, H. W., McIlraith, A., Bridges, M. S., &amp; Nielsen, D. C. (2017). Viewing a phonological deficit within a multifactorial model of dyslexia. </w:t>
      </w:r>
      <w:r>
        <w:rPr>
          <w:i/>
          <w:iCs/>
        </w:rPr>
        <w:t>Reading and Writing</w:t>
      </w:r>
      <w:r>
        <w:t xml:space="preserve">, </w:t>
      </w:r>
      <w:r>
        <w:rPr>
          <w:i/>
          <w:iCs/>
        </w:rPr>
        <w:t>30</w:t>
      </w:r>
      <w:r>
        <w:t>(3), 613–629. https://doi.org/10.1007/s11145-016-9692-2</w:t>
      </w:r>
    </w:p>
    <w:p w14:paraId="1D4C696B" w14:textId="77777777" w:rsidR="00134D7F" w:rsidRDefault="00134D7F" w:rsidP="00134D7F">
      <w:pPr>
        <w:pStyle w:val="Bibliography"/>
      </w:pPr>
      <w:r>
        <w:t xml:space="preserve">Cohen, J. (1988). </w:t>
      </w:r>
      <w:r>
        <w:rPr>
          <w:i/>
          <w:iCs/>
        </w:rPr>
        <w:t>Statistical power analysis for the behavioral sciences</w:t>
      </w:r>
      <w:r>
        <w:t xml:space="preserve"> (2nd ed). L. Erlbaum Associates.</w:t>
      </w:r>
    </w:p>
    <w:p w14:paraId="1774F3C8" w14:textId="77777777" w:rsidR="00134D7F" w:rsidRDefault="00134D7F" w:rsidP="00134D7F">
      <w:pPr>
        <w:pStyle w:val="Bibliography"/>
      </w:pPr>
      <w:r>
        <w:t xml:space="preserve">Cohen, J. (1992). A power primer. </w:t>
      </w:r>
      <w:r>
        <w:rPr>
          <w:i/>
          <w:iCs/>
        </w:rPr>
        <w:t>Psychological Bulletin</w:t>
      </w:r>
      <w:r>
        <w:t xml:space="preserve">, </w:t>
      </w:r>
      <w:r>
        <w:rPr>
          <w:i/>
          <w:iCs/>
        </w:rPr>
        <w:t>112</w:t>
      </w:r>
      <w:r>
        <w:t>(1), 155–159. https://doi.org/10.1037//0033-2909.112.1.155</w:t>
      </w:r>
    </w:p>
    <w:p w14:paraId="7CB90530" w14:textId="77777777" w:rsidR="00134D7F" w:rsidRDefault="00134D7F" w:rsidP="00134D7F">
      <w:pPr>
        <w:pStyle w:val="Bibliography"/>
      </w:pPr>
      <w:r>
        <w:lastRenderedPageBreak/>
        <w:t xml:space="preserve">Coltheart, M. (1996). Phonological dyslexia: Past and future issues. </w:t>
      </w:r>
      <w:r>
        <w:rPr>
          <w:i/>
          <w:iCs/>
        </w:rPr>
        <w:t>Cognitive Neuropsychology</w:t>
      </w:r>
      <w:r>
        <w:t xml:space="preserve">, </w:t>
      </w:r>
      <w:r>
        <w:rPr>
          <w:i/>
          <w:iCs/>
        </w:rPr>
        <w:t>13</w:t>
      </w:r>
      <w:r>
        <w:t>(6), 749–762. https://doi.org/10.1080/026432996381791</w:t>
      </w:r>
    </w:p>
    <w:p w14:paraId="6108F1DB" w14:textId="77777777" w:rsidR="00134D7F" w:rsidRDefault="00134D7F" w:rsidP="00134D7F">
      <w:pPr>
        <w:pStyle w:val="Bibliography"/>
      </w:pPr>
      <w:r>
        <w:t xml:space="preserve">Cornoldi, C., &amp; Colpo, G. (1992). New MT reading tests for middle school—Manual. </w:t>
      </w:r>
      <w:r>
        <w:rPr>
          <w:i/>
          <w:iCs/>
        </w:rPr>
        <w:t>Florence, Italy: Special Organizations</w:t>
      </w:r>
      <w:r>
        <w:t>.</w:t>
      </w:r>
    </w:p>
    <w:p w14:paraId="2F333C4C" w14:textId="77777777" w:rsidR="00134D7F" w:rsidRDefault="00134D7F" w:rsidP="00134D7F">
      <w:pPr>
        <w:pStyle w:val="Bibliography"/>
      </w:pPr>
      <w:r>
        <w:t xml:space="preserve">Daikhin, L., Raviv, O., &amp; Ahissar, M. (2017). Auditory Stimulus Processing and Task Learning Are Adequate in Dyslexia, but Benefits From Regularities Are Reduced. </w:t>
      </w:r>
      <w:r>
        <w:rPr>
          <w:i/>
          <w:iCs/>
        </w:rPr>
        <w:t>Journal of Speech, Language, and Hearing Research</w:t>
      </w:r>
      <w:r>
        <w:t xml:space="preserve">, </w:t>
      </w:r>
      <w:r>
        <w:rPr>
          <w:i/>
          <w:iCs/>
        </w:rPr>
        <w:t>60</w:t>
      </w:r>
      <w:r>
        <w:t>(2), 471–479. https://doi.org/10.1044/2016_JSLHR-H-16-0114</w:t>
      </w:r>
    </w:p>
    <w:p w14:paraId="5B9CEC00" w14:textId="77777777" w:rsidR="00134D7F" w:rsidRDefault="00134D7F" w:rsidP="00134D7F">
      <w:pPr>
        <w:pStyle w:val="Bibliography"/>
      </w:pPr>
      <w:r>
        <w:t xml:space="preserve">Deeks, J., Higgins, J., Altman, D., &amp; others. (2008). Analysing data and undertaking meta-analyses, Chapter 9. </w:t>
      </w:r>
      <w:r>
        <w:rPr>
          <w:i/>
          <w:iCs/>
        </w:rPr>
        <w:t>Cochrane Handbook for Systematic Reviews of Interventions Version</w:t>
      </w:r>
      <w:r>
        <w:t xml:space="preserve">, </w:t>
      </w:r>
      <w:r>
        <w:rPr>
          <w:i/>
          <w:iCs/>
        </w:rPr>
        <w:t>510</w:t>
      </w:r>
      <w:r>
        <w:t>.</w:t>
      </w:r>
    </w:p>
    <w:p w14:paraId="2E16A547" w14:textId="77777777" w:rsidR="00134D7F" w:rsidRDefault="00134D7F" w:rsidP="00134D7F">
      <w:pPr>
        <w:pStyle w:val="Bibliography"/>
      </w:pPr>
      <w:r>
        <w:t xml:space="preserve">Deutsch, A., &amp; Bentin, S. (1996). Attention Factors Mediating Syntactic Deficiency in Reading-Disabled Children. </w:t>
      </w:r>
      <w:r>
        <w:rPr>
          <w:i/>
          <w:iCs/>
        </w:rPr>
        <w:t>Journal of Experimental Child Psychology</w:t>
      </w:r>
      <w:r>
        <w:t xml:space="preserve">, </w:t>
      </w:r>
      <w:r>
        <w:rPr>
          <w:i/>
          <w:iCs/>
        </w:rPr>
        <w:t>63</w:t>
      </w:r>
      <w:r>
        <w:t>(2), 386–415. https://doi.org/10.1006/jecp.1996.0055</w:t>
      </w:r>
    </w:p>
    <w:p w14:paraId="35CF5023" w14:textId="77777777" w:rsidR="00134D7F" w:rsidRDefault="00134D7F" w:rsidP="00134D7F">
      <w:pPr>
        <w:pStyle w:val="Bibliography"/>
      </w:pPr>
      <w:r>
        <w:t xml:space="preserve">Di Filippo, G., Zoccolotti, P., &amp; Ziegler, J. C. (2008). Rapid naming deficits in dyslexia: A stumbling block for the perceptual anchor theory of dyslexia. </w:t>
      </w:r>
      <w:r>
        <w:rPr>
          <w:i/>
          <w:iCs/>
        </w:rPr>
        <w:t>Developmental Science</w:t>
      </w:r>
      <w:r>
        <w:t xml:space="preserve">, </w:t>
      </w:r>
      <w:r>
        <w:rPr>
          <w:i/>
          <w:iCs/>
        </w:rPr>
        <w:t>11</w:t>
      </w:r>
      <w:r>
        <w:t>(6), F40–F47. https://doi.org/10.1111/j.1467-7687.2008.00752.x</w:t>
      </w:r>
    </w:p>
    <w:p w14:paraId="6D422328" w14:textId="77777777" w:rsidR="00134D7F" w:rsidRDefault="00134D7F" w:rsidP="00134D7F">
      <w:pPr>
        <w:pStyle w:val="Bibliography"/>
      </w:pPr>
      <w:r>
        <w:t xml:space="preserve">Dienes, Z. (2008). </w:t>
      </w:r>
      <w:r>
        <w:rPr>
          <w:i/>
          <w:iCs/>
        </w:rPr>
        <w:t>Understanding psychology as a science: An introduction to scientific and statistical inference</w:t>
      </w:r>
      <w:r>
        <w:t>. Macmillan International Higher Education.</w:t>
      </w:r>
    </w:p>
    <w:p w14:paraId="1D4BAA92" w14:textId="77777777" w:rsidR="00134D7F" w:rsidRDefault="00134D7F" w:rsidP="00134D7F">
      <w:pPr>
        <w:pStyle w:val="Bibliography"/>
      </w:pPr>
      <w:r>
        <w:t xml:space="preserve">Egger, M., Smith, G. D., Schneider, M., &amp; Minder, C. (1997). Bias in meta-analysis detected by a simple, graphical test. </w:t>
      </w:r>
      <w:r>
        <w:rPr>
          <w:i/>
          <w:iCs/>
        </w:rPr>
        <w:t>BMJ</w:t>
      </w:r>
      <w:r>
        <w:t xml:space="preserve">, </w:t>
      </w:r>
      <w:r>
        <w:rPr>
          <w:i/>
          <w:iCs/>
        </w:rPr>
        <w:t>315(7109)</w:t>
      </w:r>
      <w:r>
        <w:t>. https://doi.org/10.1136/bmj.315.7109.629</w:t>
      </w:r>
    </w:p>
    <w:p w14:paraId="7ADB7263" w14:textId="77777777" w:rsidR="00134D7F" w:rsidRDefault="00134D7F" w:rsidP="00134D7F">
      <w:pPr>
        <w:pStyle w:val="Bibliography"/>
      </w:pPr>
      <w:r>
        <w:t xml:space="preserve">Faul, F., Erdfelder, E., Lang, A.-G., &amp; Buchner, A. (2007). G*Power 3: A flexible statistical power analysis program for the social, behavioral, and biomedical sciences. </w:t>
      </w:r>
      <w:r>
        <w:rPr>
          <w:i/>
          <w:iCs/>
        </w:rPr>
        <w:t>Behavior Research Methods</w:t>
      </w:r>
      <w:r>
        <w:t xml:space="preserve">, </w:t>
      </w:r>
      <w:r>
        <w:rPr>
          <w:i/>
          <w:iCs/>
        </w:rPr>
        <w:t>39</w:t>
      </w:r>
      <w:r>
        <w:t>(2), 175–191. https://doi.org/10.3758/BF03193146</w:t>
      </w:r>
    </w:p>
    <w:p w14:paraId="4FC02784" w14:textId="77777777" w:rsidR="00134D7F" w:rsidRDefault="00134D7F" w:rsidP="00134D7F">
      <w:pPr>
        <w:pStyle w:val="Bibliography"/>
      </w:pPr>
      <w:r>
        <w:lastRenderedPageBreak/>
        <w:t xml:space="preserve">Friedmann, N., Kerbel, N., &amp; Shvimer, L. (2010). Developmental attentional dyslexia. </w:t>
      </w:r>
      <w:r>
        <w:rPr>
          <w:i/>
          <w:iCs/>
        </w:rPr>
        <w:t>Cortex; a Journal Devoted to the Study of the Nervous System and Behavior</w:t>
      </w:r>
      <w:r>
        <w:t xml:space="preserve">, </w:t>
      </w:r>
      <w:r>
        <w:rPr>
          <w:i/>
          <w:iCs/>
        </w:rPr>
        <w:t>46</w:t>
      </w:r>
      <w:r>
        <w:t>(10), 1216–1237. https://doi.org/10.1016/j.cortex.2010.06.012</w:t>
      </w:r>
    </w:p>
    <w:p w14:paraId="19B8CDFE" w14:textId="77777777" w:rsidR="00134D7F" w:rsidRDefault="00134D7F" w:rsidP="00134D7F">
      <w:pPr>
        <w:pStyle w:val="Bibliography"/>
      </w:pPr>
      <w:r>
        <w:t xml:space="preserve">Friedmann, N., &amp; Rahamim, E. (2007). Developmental letter position dyslexia. </w:t>
      </w:r>
      <w:r>
        <w:rPr>
          <w:i/>
          <w:iCs/>
        </w:rPr>
        <w:t>Journal of Neuropsychology</w:t>
      </w:r>
      <w:r>
        <w:t xml:space="preserve">, </w:t>
      </w:r>
      <w:r>
        <w:rPr>
          <w:i/>
          <w:iCs/>
        </w:rPr>
        <w:t>1</w:t>
      </w:r>
      <w:r>
        <w:t>(2), 201–236. https://doi.org/10.1348/174866407x204227</w:t>
      </w:r>
    </w:p>
    <w:p w14:paraId="61C35759" w14:textId="77777777" w:rsidR="00134D7F" w:rsidRDefault="00134D7F" w:rsidP="00134D7F">
      <w:pPr>
        <w:pStyle w:val="Bibliography"/>
      </w:pPr>
      <w:r>
        <w:t xml:space="preserve">Goertzen, J. R., &amp; Cribbie, R. A. (2010). Detecting a lack of association: An equivalence testing approach. </w:t>
      </w:r>
      <w:r>
        <w:rPr>
          <w:i/>
          <w:iCs/>
        </w:rPr>
        <w:t>The British Journal Of Mathematical And Statistical Psychology</w:t>
      </w:r>
      <w:r>
        <w:t xml:space="preserve">, </w:t>
      </w:r>
      <w:r>
        <w:rPr>
          <w:i/>
          <w:iCs/>
        </w:rPr>
        <w:t>63</w:t>
      </w:r>
      <w:r>
        <w:t>(Pt 3), 527–537. https://doi.org/10.1348/000711009X475853</w:t>
      </w:r>
    </w:p>
    <w:p w14:paraId="1DFAD583" w14:textId="77777777" w:rsidR="00134D7F" w:rsidRDefault="00134D7F" w:rsidP="00134D7F">
      <w:pPr>
        <w:pStyle w:val="Bibliography"/>
      </w:pPr>
      <w:r>
        <w:t xml:space="preserve">Goswami, U. (2011). A temporal sampling framework for developmental dyslexia. </w:t>
      </w:r>
      <w:r>
        <w:rPr>
          <w:i/>
          <w:iCs/>
        </w:rPr>
        <w:t>Trends in Cognitive Sciences</w:t>
      </w:r>
      <w:r>
        <w:t xml:space="preserve">, </w:t>
      </w:r>
      <w:r>
        <w:rPr>
          <w:i/>
          <w:iCs/>
        </w:rPr>
        <w:t>15</w:t>
      </w:r>
      <w:r>
        <w:t>(1), 3–10. https://doi.org/10.1016/j.tics.2010.10.001</w:t>
      </w:r>
    </w:p>
    <w:p w14:paraId="3ADDD6CF" w14:textId="77777777" w:rsidR="00134D7F" w:rsidRDefault="00134D7F" w:rsidP="00134D7F">
      <w:pPr>
        <w:pStyle w:val="Bibliography"/>
      </w:pPr>
      <w:r>
        <w:t xml:space="preserve">Goswami, U., Thomson, J., Richardson, U., Stainthorp, R., Hughes, D., Rosen, S., &amp; Scott, S. K. (2002). Amplitude envelope onsets and developmental dyslexia: A new hypothesis. </w:t>
      </w:r>
      <w:r>
        <w:rPr>
          <w:i/>
          <w:iCs/>
        </w:rPr>
        <w:t>Proceedings of the National Academy of Sciences of the United States of America</w:t>
      </w:r>
      <w:r>
        <w:t xml:space="preserve">, </w:t>
      </w:r>
      <w:r>
        <w:rPr>
          <w:i/>
          <w:iCs/>
        </w:rPr>
        <w:t>99</w:t>
      </w:r>
      <w:r>
        <w:t>(16), 10911–10916. https://doi.org/10.1073/pnas.122368599</w:t>
      </w:r>
    </w:p>
    <w:p w14:paraId="6B86A354" w14:textId="77777777" w:rsidR="00134D7F" w:rsidRDefault="00134D7F" w:rsidP="00134D7F">
      <w:pPr>
        <w:pStyle w:val="Bibliography"/>
      </w:pPr>
      <w:r>
        <w:t xml:space="preserve">Harms, C., &amp; Lakens, D. (2018). Making’null effects’ informative: Statistical techniques and inferential frameworks. </w:t>
      </w:r>
      <w:r>
        <w:rPr>
          <w:i/>
          <w:iCs/>
        </w:rPr>
        <w:t>Journal of Clinical and Translational Research</w:t>
      </w:r>
      <w:r>
        <w:t xml:space="preserve">, </w:t>
      </w:r>
      <w:r>
        <w:rPr>
          <w:i/>
          <w:iCs/>
        </w:rPr>
        <w:t>3</w:t>
      </w:r>
      <w:r>
        <w:t>(Suppl 2), 382.</w:t>
      </w:r>
    </w:p>
    <w:p w14:paraId="2734CF71" w14:textId="77777777" w:rsidR="00134D7F" w:rsidRDefault="00134D7F" w:rsidP="00134D7F">
      <w:pPr>
        <w:pStyle w:val="Bibliography"/>
      </w:pPr>
      <w:r>
        <w:t xml:space="preserve">Harrer, M., Cuijpers, P., Furukawa, T., &amp; Ebert. E, D. (2019). </w:t>
      </w:r>
      <w:r>
        <w:rPr>
          <w:i/>
          <w:iCs/>
        </w:rPr>
        <w:t>Companion R Package For The Guide Doing Meta-Analysis in R</w:t>
      </w:r>
      <w:r>
        <w:t>. https://dmetar.protectlab.org/</w:t>
      </w:r>
    </w:p>
    <w:p w14:paraId="3006FAB1" w14:textId="77777777" w:rsidR="00134D7F" w:rsidRDefault="00134D7F" w:rsidP="00134D7F">
      <w:pPr>
        <w:pStyle w:val="Bibliography"/>
      </w:pPr>
      <w:r>
        <w:t xml:space="preserve">Harris, J. D. (1948). Discrimination of Pitch: Suggestions toward Method and Procedure. </w:t>
      </w:r>
      <w:r>
        <w:rPr>
          <w:i/>
          <w:iCs/>
        </w:rPr>
        <w:t>The American Journal of Psychology</w:t>
      </w:r>
      <w:r>
        <w:t xml:space="preserve">, </w:t>
      </w:r>
      <w:r>
        <w:rPr>
          <w:i/>
          <w:iCs/>
        </w:rPr>
        <w:t>61</w:t>
      </w:r>
      <w:r>
        <w:t>(3), 309–322. https://doi.org/10.2307/1417151</w:t>
      </w:r>
    </w:p>
    <w:p w14:paraId="16CC2D92" w14:textId="77777777" w:rsidR="00134D7F" w:rsidRDefault="00134D7F" w:rsidP="00134D7F">
      <w:pPr>
        <w:pStyle w:val="Bibliography"/>
      </w:pPr>
      <w:r>
        <w:t xml:space="preserve">Hedges, L., &amp; Olkin, I. (1985). Statistical Methods in Meta-Analysis. In </w:t>
      </w:r>
      <w:r>
        <w:rPr>
          <w:i/>
          <w:iCs/>
        </w:rPr>
        <w:t>Stat Med</w:t>
      </w:r>
      <w:r>
        <w:t xml:space="preserve"> (Vol. 20). https://doi.org/10.2307/1164953</w:t>
      </w:r>
    </w:p>
    <w:p w14:paraId="31FD08A4" w14:textId="77777777" w:rsidR="00134D7F" w:rsidRDefault="00134D7F" w:rsidP="00134D7F">
      <w:pPr>
        <w:pStyle w:val="Bibliography"/>
      </w:pPr>
      <w:r>
        <w:lastRenderedPageBreak/>
        <w:t xml:space="preserve">Higgins, J. P. T. (2008). Commentary: Heterogeneity in meta-analysis should be expected and appropriately quantified. </w:t>
      </w:r>
      <w:r>
        <w:rPr>
          <w:i/>
          <w:iCs/>
        </w:rPr>
        <w:t>International Journal of Epidemiology</w:t>
      </w:r>
      <w:r>
        <w:t xml:space="preserve">, </w:t>
      </w:r>
      <w:r>
        <w:rPr>
          <w:i/>
          <w:iCs/>
        </w:rPr>
        <w:t>37</w:t>
      </w:r>
      <w:r>
        <w:t>(5), 1158–1160. https://doi.org/10.1093/ije/dyn204</w:t>
      </w:r>
    </w:p>
    <w:p w14:paraId="534143CF" w14:textId="77777777" w:rsidR="00134D7F" w:rsidRDefault="00134D7F" w:rsidP="00134D7F">
      <w:pPr>
        <w:pStyle w:val="Bibliography"/>
      </w:pPr>
      <w:r>
        <w:t xml:space="preserve">Jackson, D., &amp; Turner, R. (2017). Power analysis for random-effects meta-analysis. </w:t>
      </w:r>
      <w:r>
        <w:rPr>
          <w:i/>
          <w:iCs/>
        </w:rPr>
        <w:t>Research Synthesis Methods</w:t>
      </w:r>
      <w:r>
        <w:t xml:space="preserve">, </w:t>
      </w:r>
      <w:r>
        <w:rPr>
          <w:i/>
          <w:iCs/>
        </w:rPr>
        <w:t>8</w:t>
      </w:r>
      <w:r>
        <w:t>(3), 290–302. https://doi.org/10.1002/jrsm.1240</w:t>
      </w:r>
    </w:p>
    <w:p w14:paraId="09D339F0" w14:textId="77777777" w:rsidR="00134D7F" w:rsidRDefault="00134D7F" w:rsidP="00134D7F">
      <w:pPr>
        <w:pStyle w:val="Bibliography"/>
      </w:pPr>
      <w:r>
        <w:t xml:space="preserve">Jones, P., &amp; Badcock, N. A. (2017). </w:t>
      </w:r>
      <w:r>
        <w:rPr>
          <w:i/>
          <w:iCs/>
        </w:rPr>
        <w:t>SYRAS | Systematic Review Assistant</w:t>
      </w:r>
      <w:r>
        <w:t>. http://syras.org/</w:t>
      </w:r>
    </w:p>
    <w:p w14:paraId="07626895" w14:textId="77777777" w:rsidR="00134D7F" w:rsidRDefault="00134D7F" w:rsidP="00134D7F">
      <w:pPr>
        <w:pStyle w:val="Bibliography"/>
      </w:pPr>
      <w:r>
        <w:t xml:space="preserve">Karawani, H., Bitan, T., Attias, J., &amp; Banai, K. (2016). Auditory Perceptual Learning in Adults with and without Age-Related Hearing Loss. </w:t>
      </w:r>
      <w:r>
        <w:rPr>
          <w:i/>
          <w:iCs/>
        </w:rPr>
        <w:t>Frontiers in Psychology</w:t>
      </w:r>
      <w:r>
        <w:t xml:space="preserve">, </w:t>
      </w:r>
      <w:r>
        <w:rPr>
          <w:i/>
          <w:iCs/>
        </w:rPr>
        <w:t>6</w:t>
      </w:r>
      <w:r>
        <w:t>. https://doi.org/10.3389/fpsyg.2015.02066</w:t>
      </w:r>
    </w:p>
    <w:p w14:paraId="6552DF0A" w14:textId="77777777" w:rsidR="00134D7F" w:rsidRDefault="00134D7F" w:rsidP="00134D7F">
      <w:pPr>
        <w:pStyle w:val="Bibliography"/>
      </w:pPr>
      <w:r>
        <w:t xml:space="preserve">Kezilas, Y., Kohnen, S., McKague, M., &amp; Castles, A. (2014). The locus of impairment in English developmental letter position dyslexia. </w:t>
      </w:r>
      <w:r>
        <w:rPr>
          <w:i/>
          <w:iCs/>
        </w:rPr>
        <w:t>Frontiers in Human Neuroscience</w:t>
      </w:r>
      <w:r>
        <w:t xml:space="preserve">, </w:t>
      </w:r>
      <w:r>
        <w:rPr>
          <w:i/>
          <w:iCs/>
        </w:rPr>
        <w:t>8</w:t>
      </w:r>
      <w:r>
        <w:t>. https://doi.org/10.3389/fnhum.2014.00356</w:t>
      </w:r>
    </w:p>
    <w:p w14:paraId="37436457" w14:textId="77777777" w:rsidR="00134D7F" w:rsidRDefault="00134D7F" w:rsidP="00134D7F">
      <w:pPr>
        <w:pStyle w:val="Bibliography"/>
      </w:pPr>
      <w:r>
        <w:t xml:space="preserve">Kohnen, S., Nickels, L., Castles, A., Friedmann, N., &amp; McArthur, G. (2012). When ‘slime’ becomes ‘smile’: Developmental letter position dyslexia in English. </w:t>
      </w:r>
      <w:r>
        <w:rPr>
          <w:i/>
          <w:iCs/>
        </w:rPr>
        <w:t>Neuropsychologia</w:t>
      </w:r>
      <w:r>
        <w:t xml:space="preserve">, </w:t>
      </w:r>
      <w:r>
        <w:rPr>
          <w:i/>
          <w:iCs/>
        </w:rPr>
        <w:t>50</w:t>
      </w:r>
      <w:r>
        <w:t>(14), 3681–3692. https://doi.org/10.1016/j.neuropsychologia.2012.07.016</w:t>
      </w:r>
    </w:p>
    <w:p w14:paraId="2F6D320D" w14:textId="77777777" w:rsidR="00134D7F" w:rsidRDefault="00134D7F" w:rsidP="00134D7F">
      <w:pPr>
        <w:pStyle w:val="Bibliography"/>
      </w:pPr>
      <w:r>
        <w:t xml:space="preserve">Kohnen, S., Nickels, L., Geigis, L., Coltheart, M., McArthur, G., &amp; Castles, A. (2018). Variations within a subtype: Developmental surface dyslexias in English. </w:t>
      </w:r>
      <w:r>
        <w:rPr>
          <w:i/>
          <w:iCs/>
        </w:rPr>
        <w:t>Cortex</w:t>
      </w:r>
      <w:r>
        <w:t xml:space="preserve">, </w:t>
      </w:r>
      <w:r>
        <w:rPr>
          <w:i/>
          <w:iCs/>
        </w:rPr>
        <w:t>106</w:t>
      </w:r>
      <w:r>
        <w:t>, 151–163. https://doi.org/10.1016/j.cortex.2018.04.008</w:t>
      </w:r>
    </w:p>
    <w:p w14:paraId="0B25EB67" w14:textId="77777777" w:rsidR="00134D7F" w:rsidRDefault="00134D7F" w:rsidP="00134D7F">
      <w:pPr>
        <w:pStyle w:val="Bibliography"/>
      </w:pPr>
      <w:r>
        <w:t xml:space="preserve">Lakens, D. (2013). Calculating and reporting effect sizes to facilitate cumulative science: A practical primer for t-tests and ANOVAs. </w:t>
      </w:r>
      <w:r>
        <w:rPr>
          <w:i/>
          <w:iCs/>
        </w:rPr>
        <w:t>Frontiers in Psychology</w:t>
      </w:r>
      <w:r>
        <w:t xml:space="preserve">, </w:t>
      </w:r>
      <w:r>
        <w:rPr>
          <w:i/>
          <w:iCs/>
        </w:rPr>
        <w:t>4</w:t>
      </w:r>
      <w:r>
        <w:t>, 1–12.</w:t>
      </w:r>
    </w:p>
    <w:p w14:paraId="48C47741" w14:textId="77777777" w:rsidR="00134D7F" w:rsidRDefault="00134D7F" w:rsidP="00134D7F">
      <w:pPr>
        <w:pStyle w:val="Bibliography"/>
      </w:pPr>
      <w:r>
        <w:t xml:space="preserve">Lakens, D., McLatchie, N., Isager, P. M., Scheel, A. M., &amp; Dienes, Z. (2020). Improving Inferences About Null Effects With Bayes Factors and Equivalence Tests. </w:t>
      </w:r>
      <w:r>
        <w:rPr>
          <w:i/>
          <w:iCs/>
        </w:rPr>
        <w:t>The Journals of Gerontology: Series B</w:t>
      </w:r>
      <w:r>
        <w:t xml:space="preserve">, </w:t>
      </w:r>
      <w:r>
        <w:rPr>
          <w:i/>
          <w:iCs/>
        </w:rPr>
        <w:t>75</w:t>
      </w:r>
      <w:r>
        <w:t>(1), 45–57. https://doi.org/10.1093/geronb/gby065</w:t>
      </w:r>
    </w:p>
    <w:p w14:paraId="341FD23B" w14:textId="77777777" w:rsidR="00134D7F" w:rsidRDefault="00134D7F" w:rsidP="00134D7F">
      <w:pPr>
        <w:pStyle w:val="Bibliography"/>
      </w:pPr>
      <w:r>
        <w:lastRenderedPageBreak/>
        <w:t xml:space="preserve">Lakens, D., Scheel, A. M., &amp; Isagar, P. M. (2018). </w:t>
      </w:r>
      <w:r>
        <w:rPr>
          <w:i/>
          <w:iCs/>
        </w:rPr>
        <w:t>Equivalence Testing for Psychological Research: A Tutorial</w:t>
      </w:r>
      <w:r>
        <w:t>. https://journals-sagepub-com.simsrad.net.ocs.mq.edu.au/doi/full/10.1177/2515245918770963</w:t>
      </w:r>
    </w:p>
    <w:p w14:paraId="43D0DE33" w14:textId="77777777" w:rsidR="00134D7F" w:rsidRDefault="00134D7F" w:rsidP="00134D7F">
      <w:pPr>
        <w:pStyle w:val="Bibliography"/>
      </w:pPr>
      <w:r>
        <w:t xml:space="preserve">Lefavrais, P. (1967). </w:t>
      </w:r>
      <w:r>
        <w:rPr>
          <w:i/>
          <w:iCs/>
        </w:rPr>
        <w:t>L’alouette</w:t>
      </w:r>
      <w:r>
        <w:t>.</w:t>
      </w:r>
    </w:p>
    <w:p w14:paraId="3EE93048" w14:textId="77777777" w:rsidR="00134D7F" w:rsidRDefault="00134D7F" w:rsidP="00134D7F">
      <w:pPr>
        <w:pStyle w:val="Bibliography"/>
      </w:pPr>
      <w:r>
        <w:t xml:space="preserve">Livingstone, M. S., Rosen, G. D., Drislane, F. W., &amp; Galaburda, A. M. (1991). Physiological and anatomical evidence for a magnocellular defect in developmental dyslexia. </w:t>
      </w:r>
      <w:r>
        <w:rPr>
          <w:i/>
          <w:iCs/>
        </w:rPr>
        <w:t>Proceedings of the National Academy of Sciences of the United States of America</w:t>
      </w:r>
      <w:r>
        <w:t xml:space="preserve">, </w:t>
      </w:r>
      <w:r>
        <w:rPr>
          <w:i/>
          <w:iCs/>
        </w:rPr>
        <w:t>88</w:t>
      </w:r>
      <w:r>
        <w:t>(18), 7943–7947.</w:t>
      </w:r>
    </w:p>
    <w:p w14:paraId="12EE0743" w14:textId="77777777" w:rsidR="00134D7F" w:rsidRDefault="00134D7F" w:rsidP="00134D7F">
      <w:pPr>
        <w:pStyle w:val="Bibliography"/>
      </w:pPr>
      <w:r>
        <w:t xml:space="preserve">Manheim, M., Lavie, L., &amp; Banai, K. (2018). Age, Hearing, and the Perceptual Learning of Rapid Speech. </w:t>
      </w:r>
      <w:r>
        <w:rPr>
          <w:i/>
          <w:iCs/>
        </w:rPr>
        <w:t>Trends in Hearing</w:t>
      </w:r>
      <w:r>
        <w:t xml:space="preserve">, </w:t>
      </w:r>
      <w:r>
        <w:rPr>
          <w:i/>
          <w:iCs/>
        </w:rPr>
        <w:t>22</w:t>
      </w:r>
      <w:r>
        <w:t>, 2331216518778651. https://doi.org/10.1177/2331216518778651</w:t>
      </w:r>
    </w:p>
    <w:p w14:paraId="5099454B" w14:textId="77777777" w:rsidR="00134D7F" w:rsidRDefault="00134D7F" w:rsidP="00134D7F">
      <w:pPr>
        <w:pStyle w:val="Bibliography"/>
      </w:pPr>
      <w:r>
        <w:t xml:space="preserve">McArthur, G., Kohnen, S., Larsen, L., Jones, K., Anandakumar, T., Banales, E., &amp; Castles, A. (2013). Getting to grips with the heterogeneity of developmental dyslexia. </w:t>
      </w:r>
      <w:r>
        <w:rPr>
          <w:i/>
          <w:iCs/>
        </w:rPr>
        <w:t>Cognitive Neuropsychology</w:t>
      </w:r>
      <w:r>
        <w:t xml:space="preserve">, </w:t>
      </w:r>
      <w:r>
        <w:rPr>
          <w:i/>
          <w:iCs/>
        </w:rPr>
        <w:t>30</w:t>
      </w:r>
      <w:r>
        <w:t>(1), 1–24. https://doi.org/10.1080/02643294.2013.784192</w:t>
      </w:r>
    </w:p>
    <w:p w14:paraId="230431AE" w14:textId="77777777" w:rsidR="00134D7F" w:rsidRDefault="00134D7F" w:rsidP="00134D7F">
      <w:pPr>
        <w:pStyle w:val="Bibliography"/>
      </w:pPr>
      <w:r>
        <w:t xml:space="preserve">McGrath, L. M., Peterson, R. L., &amp; Pennington, B. F. (2020). The Multiple Deficit Model: Progress, Problems, and Prospects. </w:t>
      </w:r>
      <w:r>
        <w:rPr>
          <w:i/>
          <w:iCs/>
        </w:rPr>
        <w:t>Scientific Studies of Reading</w:t>
      </w:r>
      <w:r>
        <w:t xml:space="preserve">, </w:t>
      </w:r>
      <w:r>
        <w:rPr>
          <w:i/>
          <w:iCs/>
        </w:rPr>
        <w:t>24</w:t>
      </w:r>
      <w:r>
        <w:t>(1), 7–13. https://doi.org/10.1080/10888438.2019.1706180</w:t>
      </w:r>
    </w:p>
    <w:p w14:paraId="72F2951C" w14:textId="77777777" w:rsidR="00134D7F" w:rsidRDefault="00134D7F" w:rsidP="00134D7F">
      <w:pPr>
        <w:pStyle w:val="Bibliography"/>
      </w:pPr>
      <w:r>
        <w:t xml:space="preserve">Oganian, Y., &amp; Ahissar, M. (2012). Poor anchoring limits dyslexics’ perceptual, memory, and reading skills. </w:t>
      </w:r>
      <w:r>
        <w:rPr>
          <w:i/>
          <w:iCs/>
        </w:rPr>
        <w:t>Neuropsychologia</w:t>
      </w:r>
      <w:r>
        <w:t xml:space="preserve">, </w:t>
      </w:r>
      <w:r>
        <w:rPr>
          <w:i/>
          <w:iCs/>
        </w:rPr>
        <w:t>50</w:t>
      </w:r>
      <w:r>
        <w:t>(8), 1895–1905. https://doi.org/10.1016/j.neuropsychologia.2012.04.014</w:t>
      </w:r>
    </w:p>
    <w:p w14:paraId="5F4F3627" w14:textId="77777777" w:rsidR="00134D7F" w:rsidRDefault="00134D7F" w:rsidP="00134D7F">
      <w:pPr>
        <w:pStyle w:val="Bibliography"/>
      </w:pPr>
      <w:r>
        <w:t xml:space="preserve">Parrila, R. K., Cain, K., &amp; Compton, D. L. (2017). </w:t>
      </w:r>
      <w:r>
        <w:rPr>
          <w:i/>
          <w:iCs/>
        </w:rPr>
        <w:t>Theories of Reading Development</w:t>
      </w:r>
      <w:r>
        <w:t xml:space="preserve"> (Issue Vol. 15). John Benjamins Publishing Company. http://simsrad.net.ocs.mq.edu.au/login?url=https://search.ebscohost.com/login.aspx?direct=true&amp;db=nlebk&amp;AN=1572178&amp;site=ehost-live</w:t>
      </w:r>
    </w:p>
    <w:p w14:paraId="7CDD4E0E" w14:textId="77777777" w:rsidR="00134D7F" w:rsidRDefault="00134D7F" w:rsidP="00134D7F">
      <w:pPr>
        <w:pStyle w:val="Bibliography"/>
      </w:pPr>
      <w:r>
        <w:lastRenderedPageBreak/>
        <w:t xml:space="preserve">Peterson, R. L., Pennington, B. F., &amp; Olson, R. K. (2013). Subtypes of developmental dyslexia: Testing the predictions of the dual-route and connectionist frameworks. </w:t>
      </w:r>
      <w:r>
        <w:rPr>
          <w:i/>
          <w:iCs/>
        </w:rPr>
        <w:t>Cognition</w:t>
      </w:r>
      <w:r>
        <w:t xml:space="preserve">, </w:t>
      </w:r>
      <w:r>
        <w:rPr>
          <w:i/>
          <w:iCs/>
        </w:rPr>
        <w:t>126</w:t>
      </w:r>
      <w:r>
        <w:t>(1), 20–38. https://doi.org/10.1016/j.cognition.2012.08.007</w:t>
      </w:r>
    </w:p>
    <w:p w14:paraId="510871C3" w14:textId="77777777" w:rsidR="00134D7F" w:rsidRDefault="00134D7F" w:rsidP="00134D7F">
      <w:pPr>
        <w:pStyle w:val="Bibliography"/>
      </w:pPr>
      <w:r>
        <w:t xml:space="preserve">PRISMA-P Group, Moher, D., Shamseer, L., Clarke, M., Ghersi, D., Liberati, A., Petticrew, M., Shekelle, P., &amp; Stewart, L. A. (2015). Preferred reporting items for systematic review and meta-analysis protocols (PRISMA-P) 2015 statement. </w:t>
      </w:r>
      <w:r>
        <w:rPr>
          <w:i/>
          <w:iCs/>
        </w:rPr>
        <w:t>Systematic Reviews</w:t>
      </w:r>
      <w:r>
        <w:t xml:space="preserve">, </w:t>
      </w:r>
      <w:r>
        <w:rPr>
          <w:i/>
          <w:iCs/>
        </w:rPr>
        <w:t>4</w:t>
      </w:r>
      <w:r>
        <w:t>(1), 1. https://doi.org/10.1186/2046-4053-4-1</w:t>
      </w:r>
    </w:p>
    <w:p w14:paraId="4C011749" w14:textId="77777777" w:rsidR="00134D7F" w:rsidRDefault="00134D7F" w:rsidP="00134D7F">
      <w:pPr>
        <w:pStyle w:val="Bibliography"/>
      </w:pPr>
      <w:r>
        <w:t xml:space="preserve">R Core Team. (2019). </w:t>
      </w:r>
      <w:r>
        <w:rPr>
          <w:i/>
          <w:iCs/>
        </w:rPr>
        <w:t>R Core Team (2019).</w:t>
      </w:r>
      <w:r>
        <w:t xml:space="preserve"> [Methodology Reference]. European Environment Agency. https://www.eea.europa.eu/data-and-maps/indicators/oxygen-consuming-substances-in-rivers/r-development-core-team-2006</w:t>
      </w:r>
    </w:p>
    <w:p w14:paraId="60E7365E" w14:textId="77777777" w:rsidR="00134D7F" w:rsidRDefault="00134D7F" w:rsidP="00134D7F">
      <w:pPr>
        <w:pStyle w:val="Bibliography"/>
      </w:pPr>
      <w:r>
        <w:t xml:space="preserve">Ramus, F., &amp; Ahissar, M. (2012). Developmental dyslexia: The difficulties of interpreting poor performance, and the importance of normal performance. </w:t>
      </w:r>
      <w:r>
        <w:rPr>
          <w:i/>
          <w:iCs/>
        </w:rPr>
        <w:t>Cognitive Neuropsychology</w:t>
      </w:r>
      <w:r>
        <w:t xml:space="preserve">, </w:t>
      </w:r>
      <w:r>
        <w:rPr>
          <w:i/>
          <w:iCs/>
        </w:rPr>
        <w:t>29</w:t>
      </w:r>
      <w:r>
        <w:t>(1–2), 104–122. https://doi.org/10.1080/02643294.2012.677420</w:t>
      </w:r>
    </w:p>
    <w:p w14:paraId="211D8EBD" w14:textId="77777777" w:rsidR="00134D7F" w:rsidRDefault="00134D7F" w:rsidP="00134D7F">
      <w:pPr>
        <w:pStyle w:val="Bibliography"/>
      </w:pPr>
      <w:r>
        <w:t xml:space="preserve">Raven, J., Raven, J., Raven, J. C., &amp; others. (2003). </w:t>
      </w:r>
      <w:r>
        <w:rPr>
          <w:i/>
          <w:iCs/>
        </w:rPr>
        <w:t>Manual for Raven’s progressive matrices and vocabulary scales: Section 1: General overview</w:t>
      </w:r>
      <w:r>
        <w:t>.</w:t>
      </w:r>
    </w:p>
    <w:p w14:paraId="05F9B34B" w14:textId="77777777" w:rsidR="00134D7F" w:rsidRDefault="00134D7F" w:rsidP="00134D7F">
      <w:pPr>
        <w:pStyle w:val="Bibliography"/>
      </w:pPr>
      <w:r>
        <w:t xml:space="preserve">Röver, C., Knapp, G., &amp; Friede, T. (2015). Hartung-Knapp-Sidik-Jonkman approach and its modification for random-effects meta-analysis with few studies. </w:t>
      </w:r>
      <w:r>
        <w:rPr>
          <w:i/>
          <w:iCs/>
        </w:rPr>
        <w:t>BMC Medical Research Methodology</w:t>
      </w:r>
      <w:r>
        <w:t xml:space="preserve">, </w:t>
      </w:r>
      <w:r>
        <w:rPr>
          <w:i/>
          <w:iCs/>
        </w:rPr>
        <w:t>15</w:t>
      </w:r>
      <w:r>
        <w:t>(1), 99. https://doi.org/10.1186/s12874-015-0091-1</w:t>
      </w:r>
    </w:p>
    <w:p w14:paraId="575FF46D" w14:textId="77777777" w:rsidR="00134D7F" w:rsidRDefault="00134D7F" w:rsidP="00134D7F">
      <w:pPr>
        <w:pStyle w:val="Bibliography"/>
      </w:pPr>
      <w:r>
        <w:t xml:space="preserve">Schwarzer, G. (2007). </w:t>
      </w:r>
      <w:r>
        <w:rPr>
          <w:i/>
          <w:iCs/>
        </w:rPr>
        <w:t>meta: An R Package for Meta-Analysis</w:t>
      </w:r>
      <w:r>
        <w:t xml:space="preserve">. </w:t>
      </w:r>
      <w:r>
        <w:rPr>
          <w:i/>
          <w:iCs/>
        </w:rPr>
        <w:t>7</w:t>
      </w:r>
      <w:r>
        <w:t>, 40–45.</w:t>
      </w:r>
    </w:p>
    <w:p w14:paraId="1730CB92" w14:textId="77777777" w:rsidR="00134D7F" w:rsidRDefault="00134D7F" w:rsidP="00134D7F">
      <w:pPr>
        <w:pStyle w:val="Bibliography"/>
      </w:pPr>
      <w:r>
        <w:t xml:space="preserve">Schwarzer, G., Carpenter, J. R., &amp; Rücker, G. (2015). Fixed Effect and Random Effects Meta-Analysis. In G. Schwarzer, J. R. Carpenter, &amp; G. Rücker (Eds.), </w:t>
      </w:r>
      <w:r>
        <w:rPr>
          <w:i/>
          <w:iCs/>
        </w:rPr>
        <w:t>Meta-Analysis with R</w:t>
      </w:r>
      <w:r>
        <w:t xml:space="preserve"> (pp. 21–53). Springer International Publishing. https://doi.org/10.1007/978-3-319-21416-0_2</w:t>
      </w:r>
    </w:p>
    <w:p w14:paraId="45FE6EF0" w14:textId="77777777" w:rsidR="00134D7F" w:rsidRDefault="00134D7F" w:rsidP="00134D7F">
      <w:pPr>
        <w:pStyle w:val="Bibliography"/>
      </w:pPr>
      <w:r>
        <w:t xml:space="preserve">Shaywitz, S. E., Escobar, M. D., Shaywitz, B. A., Fletcher, J. M., &amp; Makuch, R. (1992). Evidence That Dyslexia May Represent the Lower Tail of a Normal Distribution of </w:t>
      </w:r>
      <w:r>
        <w:lastRenderedPageBreak/>
        <w:t xml:space="preserve">Reading Ability. </w:t>
      </w:r>
      <w:r>
        <w:rPr>
          <w:i/>
          <w:iCs/>
        </w:rPr>
        <w:t>New England Journal of Medicine</w:t>
      </w:r>
      <w:r>
        <w:t xml:space="preserve">, </w:t>
      </w:r>
      <w:r>
        <w:rPr>
          <w:i/>
          <w:iCs/>
        </w:rPr>
        <w:t>326</w:t>
      </w:r>
      <w:r>
        <w:t>(3), 145–150. https://doi.org/10.1056/NEJM199201163260301</w:t>
      </w:r>
    </w:p>
    <w:p w14:paraId="4CF2D14B" w14:textId="77777777" w:rsidR="00134D7F" w:rsidRDefault="00134D7F" w:rsidP="00134D7F">
      <w:pPr>
        <w:pStyle w:val="Bibliography"/>
      </w:pPr>
      <w:r>
        <w:t xml:space="preserve">Skottun, B. C. (2000). The magnocellular deficit theory of dyslexia: The evidence from contrast sensitivity. </w:t>
      </w:r>
      <w:r>
        <w:rPr>
          <w:i/>
          <w:iCs/>
        </w:rPr>
        <w:t>Vision Research</w:t>
      </w:r>
      <w:r>
        <w:t xml:space="preserve">, </w:t>
      </w:r>
      <w:r>
        <w:rPr>
          <w:i/>
          <w:iCs/>
        </w:rPr>
        <w:t>40</w:t>
      </w:r>
      <w:r>
        <w:t>(1), 111–127. https://doi.org/10.1016/S0042-6989(99)00170-4</w:t>
      </w:r>
    </w:p>
    <w:p w14:paraId="1A53F780" w14:textId="77777777" w:rsidR="00134D7F" w:rsidRDefault="00134D7F" w:rsidP="00134D7F">
      <w:pPr>
        <w:pStyle w:val="Bibliography"/>
      </w:pPr>
      <w:r>
        <w:t xml:space="preserve">Snowling, M. J. (2000). </w:t>
      </w:r>
      <w:r>
        <w:rPr>
          <w:i/>
          <w:iCs/>
        </w:rPr>
        <w:t>Dyslexia, 2nd ed</w:t>
      </w:r>
      <w:r>
        <w:t xml:space="preserve"> (pp. xiv, 253). Blackwell Publishing.</w:t>
      </w:r>
    </w:p>
    <w:p w14:paraId="224AA765" w14:textId="77777777" w:rsidR="00134D7F" w:rsidRDefault="00134D7F" w:rsidP="00134D7F">
      <w:pPr>
        <w:pStyle w:val="Bibliography"/>
      </w:pPr>
      <w:r>
        <w:t xml:space="preserve">Snowling, M. J. (2001). From language to reading and dyslexia. </w:t>
      </w:r>
      <w:r>
        <w:rPr>
          <w:i/>
          <w:iCs/>
        </w:rPr>
        <w:t>Dyslexia</w:t>
      </w:r>
      <w:r>
        <w:t xml:space="preserve">, </w:t>
      </w:r>
      <w:r>
        <w:rPr>
          <w:i/>
          <w:iCs/>
        </w:rPr>
        <w:t>7</w:t>
      </w:r>
      <w:r>
        <w:t>(1), 37–46. https://doi.org/10.1002/dys.185</w:t>
      </w:r>
    </w:p>
    <w:p w14:paraId="25048285" w14:textId="77777777" w:rsidR="00134D7F" w:rsidRDefault="00134D7F" w:rsidP="00134D7F">
      <w:pPr>
        <w:pStyle w:val="Bibliography"/>
      </w:pPr>
      <w:r>
        <w:t xml:space="preserve">Sterne, J. A. C., Sutton, A. J., Ioannidis, J. P. A., Terrin, N., Jones, D. R., Lau, J., Carpenter, J., Rücker, G., Harbord, R. M., Schmid, C. H., Tetzlaff, J., Deeks, J. J., Peters, J., Macaskill, P., Schwarzer, G., Duval, S., Altman, D. G., Moher, D., &amp; Higgins, J. P. T. (2011). Recommendations for examining and interpreting funnel plot asymmetry in meta-analyses of randomised controlled trials. </w:t>
      </w:r>
      <w:r>
        <w:rPr>
          <w:i/>
          <w:iCs/>
        </w:rPr>
        <w:t>BMJ</w:t>
      </w:r>
      <w:r>
        <w:t xml:space="preserve">, </w:t>
      </w:r>
      <w:r>
        <w:rPr>
          <w:i/>
          <w:iCs/>
        </w:rPr>
        <w:t>343</w:t>
      </w:r>
      <w:r>
        <w:t>. https://doi.org/10.1136/bmj.d4002</w:t>
      </w:r>
    </w:p>
    <w:p w14:paraId="390FDDF7" w14:textId="77777777" w:rsidR="00134D7F" w:rsidRDefault="00134D7F" w:rsidP="00134D7F">
      <w:pPr>
        <w:pStyle w:val="Bibliography"/>
      </w:pPr>
      <w:r>
        <w:t xml:space="preserve">Tallal, P. (1980). Auditory temporal perception, phonics, and reading disabilities in children. </w:t>
      </w:r>
      <w:r>
        <w:rPr>
          <w:i/>
          <w:iCs/>
        </w:rPr>
        <w:t>Brain and Language</w:t>
      </w:r>
      <w:r>
        <w:t xml:space="preserve">, </w:t>
      </w:r>
      <w:r>
        <w:rPr>
          <w:i/>
          <w:iCs/>
        </w:rPr>
        <w:t>9</w:t>
      </w:r>
      <w:r>
        <w:t>(2), 182–198. https://doi.org/10.1016/0093-934X(80)90139-X</w:t>
      </w:r>
    </w:p>
    <w:p w14:paraId="30C328AB" w14:textId="77777777" w:rsidR="00134D7F" w:rsidRDefault="00134D7F" w:rsidP="00134D7F">
      <w:pPr>
        <w:pStyle w:val="Bibliography"/>
      </w:pPr>
      <w:r>
        <w:t xml:space="preserve">Temple, C. M., &amp; Marshall, J. C. (1983). A case study of developmental phonological dyslexia. </w:t>
      </w:r>
      <w:r>
        <w:rPr>
          <w:i/>
          <w:iCs/>
        </w:rPr>
        <w:t>British Journal of Psychology</w:t>
      </w:r>
      <w:r>
        <w:t xml:space="preserve">, </w:t>
      </w:r>
      <w:r>
        <w:rPr>
          <w:i/>
          <w:iCs/>
        </w:rPr>
        <w:t>74</w:t>
      </w:r>
      <w:r>
        <w:t>(4), 517–533. https://doi.org/10.1111/j.2044-8295.1983.tb01883.x</w:t>
      </w:r>
    </w:p>
    <w:p w14:paraId="49FBFD17" w14:textId="77777777" w:rsidR="00134D7F" w:rsidRDefault="00134D7F" w:rsidP="00134D7F">
      <w:pPr>
        <w:pStyle w:val="Bibliography"/>
      </w:pPr>
      <w:r>
        <w:t xml:space="preserve">Valentine, J. C., Pigott, T. D., &amp; Rothstein, H. R. (2010). How Many Studies Do You Need?: A Primer on Statistical Power for Meta-Analysis. </w:t>
      </w:r>
      <w:r>
        <w:rPr>
          <w:i/>
          <w:iCs/>
        </w:rPr>
        <w:t>Journal of Educational and Behavioral Statistics</w:t>
      </w:r>
      <w:r>
        <w:t xml:space="preserve">, </w:t>
      </w:r>
      <w:r>
        <w:rPr>
          <w:i/>
          <w:iCs/>
        </w:rPr>
        <w:t>35</w:t>
      </w:r>
      <w:r>
        <w:t>(2), 215–247. https://doi.org/10.3102/1076998609346961</w:t>
      </w:r>
    </w:p>
    <w:p w14:paraId="63293472" w14:textId="77777777" w:rsidR="00134D7F" w:rsidRDefault="00134D7F" w:rsidP="00134D7F">
      <w:pPr>
        <w:pStyle w:val="Bibliography"/>
      </w:pPr>
      <w:r>
        <w:t xml:space="preserve">Viechtbauer, W. (2010). Conducting Meta-Analyses in R with the metafor Package. </w:t>
      </w:r>
      <w:r>
        <w:rPr>
          <w:i/>
          <w:iCs/>
        </w:rPr>
        <w:t>Journal of Statistical Software</w:t>
      </w:r>
      <w:r>
        <w:t xml:space="preserve">, </w:t>
      </w:r>
      <w:r>
        <w:rPr>
          <w:i/>
          <w:iCs/>
        </w:rPr>
        <w:t>36</w:t>
      </w:r>
      <w:r>
        <w:t>(3), 1–48. https://doi.org/10.18637/jss.v036.i03</w:t>
      </w:r>
    </w:p>
    <w:p w14:paraId="3ECDD221" w14:textId="77777777" w:rsidR="00134D7F" w:rsidRDefault="00134D7F" w:rsidP="00134D7F">
      <w:pPr>
        <w:pStyle w:val="Bibliography"/>
      </w:pPr>
      <w:r>
        <w:lastRenderedPageBreak/>
        <w:t xml:space="preserve">Wells, G., Shea, B., O’Connell, D., Robertson, J., Peterson, J., Welch, V., Losos, M., &amp; Tugwell, P. (2012). </w:t>
      </w:r>
      <w:r>
        <w:rPr>
          <w:i/>
          <w:iCs/>
        </w:rPr>
        <w:t>The Newcastle-Ottawa Scale (NOS) for Assessing the Quality of Nonrandomized Studies in Meta- Analysis</w:t>
      </w:r>
      <w:r>
        <w:t>. 21.</w:t>
      </w:r>
    </w:p>
    <w:p w14:paraId="79031839" w14:textId="77777777" w:rsidR="00134D7F" w:rsidRDefault="00134D7F" w:rsidP="00134D7F">
      <w:pPr>
        <w:pStyle w:val="Bibliography"/>
      </w:pPr>
      <w:r>
        <w:t xml:space="preserve">Wijnen, F., Kappers, A., Vlutters, L., &amp; Winkel, S. (2012). Auditory Frequency Discrimination in Adults With Dyslexia: A Test of the Anchoring Hypothesis. </w:t>
      </w:r>
      <w:r>
        <w:rPr>
          <w:i/>
          <w:iCs/>
        </w:rPr>
        <w:t>Journal of Speech, Language and Hearing Research (Online)</w:t>
      </w:r>
      <w:r>
        <w:t xml:space="preserve">, </w:t>
      </w:r>
      <w:r>
        <w:rPr>
          <w:i/>
          <w:iCs/>
        </w:rPr>
        <w:t>55</w:t>
      </w:r>
      <w:r>
        <w:t>(5), 1387–1394. https://doi.org/10.1044/1092-4388(2012/10-0302)</w:t>
      </w:r>
    </w:p>
    <w:p w14:paraId="06C5338E" w14:textId="77777777" w:rsidR="00134D7F" w:rsidRDefault="00134D7F" w:rsidP="00134D7F">
      <w:pPr>
        <w:pStyle w:val="Bibliography"/>
      </w:pPr>
      <w:r>
        <w:t xml:space="preserve">World Health Organization. (2018). </w:t>
      </w:r>
      <w:r>
        <w:rPr>
          <w:i/>
          <w:iCs/>
        </w:rPr>
        <w:t>ICD-11—Mortality and Morbidity Statistics</w:t>
      </w:r>
      <w:r>
        <w:t>. https://icd.who.int/browse11/l-m/en</w:t>
      </w:r>
    </w:p>
    <w:p w14:paraId="565770FA" w14:textId="77777777" w:rsidR="00134D7F" w:rsidRDefault="00134D7F" w:rsidP="00134D7F">
      <w:pPr>
        <w:pStyle w:val="Bibliography"/>
      </w:pPr>
      <w:r>
        <w:t xml:space="preserve">Ziegler, J. C., Castel, C., Pech-Georgel, C., George, F., Alario, F.-X., &amp; Perry, C. (2008). Developmental dyslexia and the dual route model of reading: Simulating individual differences and subtypes. </w:t>
      </w:r>
      <w:r>
        <w:rPr>
          <w:i/>
          <w:iCs/>
        </w:rPr>
        <w:t>Cognition</w:t>
      </w:r>
      <w:r>
        <w:t xml:space="preserve">, </w:t>
      </w:r>
      <w:r>
        <w:rPr>
          <w:i/>
          <w:iCs/>
        </w:rPr>
        <w:t>107</w:t>
      </w:r>
      <w:r>
        <w:t>(1), 151–178. https://doi.org/10.1016/j.cognition.2007.09.004</w:t>
      </w:r>
    </w:p>
    <w:p w14:paraId="73960EF8" w14:textId="77777777" w:rsidR="00134D7F" w:rsidRDefault="00134D7F" w:rsidP="00134D7F">
      <w:pPr>
        <w:pStyle w:val="Bibliography"/>
      </w:pPr>
      <w:r>
        <w:t xml:space="preserve">Zoubrinetzky, R., Bielle, F., &amp; Valdois, S. (2014). New Insights on Developmental Dyslexia Subtypes: Heterogeneity of Mixed Reading Profiles. </w:t>
      </w:r>
      <w:r>
        <w:rPr>
          <w:i/>
          <w:iCs/>
        </w:rPr>
        <w:t>PLOS ONE</w:t>
      </w:r>
      <w:r>
        <w:t xml:space="preserve">, </w:t>
      </w:r>
      <w:r>
        <w:rPr>
          <w:i/>
          <w:iCs/>
        </w:rPr>
        <w:t>9</w:t>
      </w:r>
      <w:r>
        <w:t>(6), e99337. https://doi.org/10.1371/journal.pone.0099337</w:t>
      </w:r>
    </w:p>
    <w:p w14:paraId="6B85FAFE" w14:textId="35DCFD80" w:rsidR="00C9277A" w:rsidRPr="00806BB7" w:rsidRDefault="004D2116" w:rsidP="00C9277A">
      <w:pPr>
        <w:rPr>
          <w:szCs w:val="24"/>
        </w:rPr>
      </w:pPr>
      <w:r w:rsidRPr="00806BB7">
        <w:rPr>
          <w:szCs w:val="24"/>
        </w:rPr>
        <w:fldChar w:fldCharType="end"/>
      </w:r>
    </w:p>
    <w:p w14:paraId="2C0B4CCE" w14:textId="1CE1EEBF" w:rsidR="00C9277A" w:rsidRPr="00806BB7" w:rsidRDefault="00C9277A" w:rsidP="00C9277A">
      <w:pPr>
        <w:rPr>
          <w:szCs w:val="24"/>
        </w:rPr>
      </w:pPr>
      <w:r w:rsidRPr="00806BB7">
        <w:rPr>
          <w:szCs w:val="24"/>
        </w:rPr>
        <w:br w:type="page"/>
      </w:r>
    </w:p>
    <w:p w14:paraId="78D4D728" w14:textId="5C51D80E" w:rsidR="00FB64B5" w:rsidRPr="00F8700E" w:rsidRDefault="00704994" w:rsidP="00544895">
      <w:pPr>
        <w:pStyle w:val="Heading1"/>
        <w:rPr>
          <w:rFonts w:cs="Times New Roman"/>
          <w:szCs w:val="24"/>
        </w:rPr>
      </w:pPr>
      <w:bookmarkStart w:id="34" w:name="_Toc39065458"/>
      <w:r w:rsidRPr="00F8700E">
        <w:rPr>
          <w:rFonts w:cs="Times New Roman"/>
          <w:szCs w:val="24"/>
        </w:rPr>
        <w:lastRenderedPageBreak/>
        <w:t>Appendix</w:t>
      </w:r>
      <w:bookmarkEnd w:id="34"/>
    </w:p>
    <w:p w14:paraId="45852C1F" w14:textId="511C93D8" w:rsidR="00544895" w:rsidRPr="00544895" w:rsidRDefault="00544895" w:rsidP="00544895">
      <w:pPr>
        <w:ind w:firstLine="0"/>
        <w:rPr>
          <w:rFonts w:cs="Times New Roman"/>
          <w:szCs w:val="24"/>
        </w:rPr>
      </w:pPr>
      <w:r w:rsidRPr="00544895">
        <w:rPr>
          <w:rStyle w:val="Heading2Char"/>
          <w:rFonts w:cs="Times New Roman"/>
          <w:szCs w:val="24"/>
        </w:rPr>
        <w:t>Appendix A:</w:t>
      </w:r>
      <w:r w:rsidRPr="00544895">
        <w:rPr>
          <w:rFonts w:cs="Times New Roman"/>
          <w:b/>
          <w:szCs w:val="24"/>
        </w:rPr>
        <w:t xml:space="preserve"> </w:t>
      </w:r>
      <w:r w:rsidRPr="00544895">
        <w:rPr>
          <w:rFonts w:cs="Times New Roman"/>
          <w:szCs w:val="24"/>
        </w:rPr>
        <w:t>Search terms for literature search</w:t>
      </w:r>
      <w:r w:rsidRPr="00F8700E">
        <w:rPr>
          <w:rFonts w:cs="Times New Roman"/>
          <w:szCs w:val="24"/>
        </w:rPr>
        <w:t>:</w:t>
      </w:r>
    </w:p>
    <w:p w14:paraId="20FA702A" w14:textId="0295A6E6" w:rsidR="00544895" w:rsidRPr="00F8700E" w:rsidRDefault="00544895" w:rsidP="00544895">
      <w:pPr>
        <w:pStyle w:val="ListParagraph"/>
        <w:numPr>
          <w:ilvl w:val="0"/>
          <w:numId w:val="3"/>
        </w:numPr>
        <w:rPr>
          <w:rFonts w:cs="Times New Roman"/>
          <w:szCs w:val="24"/>
        </w:rPr>
      </w:pPr>
      <w:r w:rsidRPr="00F8700E">
        <w:rPr>
          <w:rFonts w:cs="Times New Roman"/>
          <w:szCs w:val="24"/>
        </w:rPr>
        <w:t xml:space="preserve">Perceptual anchoring; perceptual learning; anchoring deficit; statistical learning </w:t>
      </w:r>
    </w:p>
    <w:p w14:paraId="42ADB900" w14:textId="1AA2FFEA" w:rsidR="00544895" w:rsidRPr="00F8700E" w:rsidRDefault="00544895" w:rsidP="00544895">
      <w:pPr>
        <w:pStyle w:val="ListParagraph"/>
        <w:numPr>
          <w:ilvl w:val="0"/>
          <w:numId w:val="3"/>
        </w:numPr>
        <w:rPr>
          <w:rFonts w:cs="Times New Roman"/>
          <w:szCs w:val="24"/>
        </w:rPr>
      </w:pPr>
      <w:r w:rsidRPr="00F8700E">
        <w:rPr>
          <w:rFonts w:cs="Times New Roman"/>
          <w:szCs w:val="24"/>
        </w:rPr>
        <w:t xml:space="preserve">Reading ability; poor reading; dyslexia; reading disability or difficulty or disorder or impairment or deficit or delay; learning disability or difficulty or disorder or impairment or deficit or delay. </w:t>
      </w:r>
    </w:p>
    <w:p w14:paraId="0BE32D0A" w14:textId="52D563BC" w:rsidR="00544895" w:rsidRPr="00F8700E" w:rsidRDefault="00544895" w:rsidP="00544895">
      <w:pPr>
        <w:rPr>
          <w:rFonts w:cs="Times New Roman"/>
          <w:szCs w:val="24"/>
        </w:rPr>
      </w:pPr>
    </w:p>
    <w:p w14:paraId="7EE10C02" w14:textId="314E8BB8" w:rsidR="00544895" w:rsidRPr="00F8700E" w:rsidRDefault="00544895" w:rsidP="00544895">
      <w:pPr>
        <w:ind w:firstLine="0"/>
        <w:rPr>
          <w:rFonts w:cs="Times New Roman"/>
          <w:szCs w:val="24"/>
        </w:rPr>
      </w:pPr>
      <w:r w:rsidRPr="00F8700E">
        <w:rPr>
          <w:rStyle w:val="Heading2Char"/>
          <w:rFonts w:cs="Times New Roman"/>
          <w:szCs w:val="24"/>
        </w:rPr>
        <w:t>Appendix B:</w:t>
      </w:r>
      <w:r w:rsidRPr="00F8700E">
        <w:rPr>
          <w:rFonts w:cs="Times New Roman"/>
          <w:szCs w:val="24"/>
        </w:rPr>
        <w:t xml:space="preserve"> Rationale for exclusions in step 5 of study selection</w:t>
      </w:r>
      <w:r w:rsidR="00B37FFC" w:rsidRPr="00F8700E">
        <w:rPr>
          <w:rFonts w:cs="Times New Roman"/>
          <w:szCs w:val="24"/>
        </w:rPr>
        <w:t>:</w:t>
      </w:r>
    </w:p>
    <w:p w14:paraId="6AF9A847" w14:textId="0682B5A1" w:rsidR="00544895" w:rsidRPr="00F8700E" w:rsidRDefault="00544895" w:rsidP="00026BDE">
      <w:pPr>
        <w:pStyle w:val="ListParagraph"/>
        <w:numPr>
          <w:ilvl w:val="0"/>
          <w:numId w:val="4"/>
        </w:numPr>
        <w:spacing w:after="160"/>
        <w:ind w:hanging="357"/>
        <w:rPr>
          <w:rFonts w:cs="Times New Roman"/>
          <w:szCs w:val="24"/>
        </w:rPr>
      </w:pPr>
      <w:r w:rsidRPr="00F8700E">
        <w:rPr>
          <w:rFonts w:cs="Times New Roman"/>
          <w:szCs w:val="24"/>
        </w:rPr>
        <w:t xml:space="preserve">Willburger, E., &amp; Landerl, K. (2010). Anchoring the deficit of the anchor deficit: </w:t>
      </w:r>
      <w:r w:rsidRPr="00F8700E">
        <w:rPr>
          <w:rFonts w:cs="Times New Roman"/>
          <w:szCs w:val="24"/>
        </w:rPr>
        <w:tab/>
        <w:t>dyslexia or attention? Dyslexia, 16(2), 175-182.</w:t>
      </w:r>
    </w:p>
    <w:p w14:paraId="430C544E" w14:textId="267FF640" w:rsidR="00026BDE" w:rsidRPr="00F8700E" w:rsidRDefault="00026BDE" w:rsidP="00026BDE">
      <w:pPr>
        <w:pStyle w:val="ListParagraph"/>
        <w:numPr>
          <w:ilvl w:val="1"/>
          <w:numId w:val="4"/>
        </w:numPr>
        <w:ind w:hanging="357"/>
        <w:rPr>
          <w:rFonts w:cs="Times New Roman"/>
          <w:szCs w:val="24"/>
        </w:rPr>
      </w:pPr>
      <w:r w:rsidRPr="00F8700E">
        <w:rPr>
          <w:rFonts w:cs="Times New Roman"/>
          <w:szCs w:val="24"/>
        </w:rPr>
        <w:t xml:space="preserve">Measure of interest was contrast threshold for each condition (small/large stim set; without/with noise). Lower contrast threshold indicates participants detected the stimulus at lower contrasts. Higher contrast threshold indicates participant’s detected stimulus at higher contrast. </w:t>
      </w:r>
      <w:r w:rsidR="000B445C" w:rsidRPr="00F8700E">
        <w:rPr>
          <w:rFonts w:cs="Times New Roman"/>
          <w:szCs w:val="24"/>
        </w:rPr>
        <w:t>R</w:t>
      </w:r>
      <w:r w:rsidRPr="00F8700E">
        <w:rPr>
          <w:rFonts w:cs="Times New Roman"/>
          <w:szCs w:val="24"/>
        </w:rPr>
        <w:t xml:space="preserve">egardless of condition, the luminance of stimuli varied on a trial-by-trial basis (depending on staircase). </w:t>
      </w:r>
      <w:r w:rsidR="000B445C" w:rsidRPr="00F8700E">
        <w:rPr>
          <w:rFonts w:cs="Times New Roman"/>
          <w:szCs w:val="24"/>
        </w:rPr>
        <w:t>There was no opportunity for a participant to anchor to particular stimulus and stimulus continually changed (no repeated condition</w:t>
      </w:r>
      <w:r w:rsidR="00F8700E" w:rsidRPr="00F8700E">
        <w:rPr>
          <w:rFonts w:cs="Times New Roman"/>
          <w:szCs w:val="24"/>
        </w:rPr>
        <w:t>). The</w:t>
      </w:r>
      <w:r w:rsidRPr="00F8700E">
        <w:rPr>
          <w:rFonts w:cs="Times New Roman"/>
          <w:szCs w:val="24"/>
        </w:rPr>
        <w:t xml:space="preserve"> results support noise exclusion impairments but do not adequately address prediction for/against anchoring deficits. </w:t>
      </w:r>
    </w:p>
    <w:p w14:paraId="5F7E8467" w14:textId="77777777" w:rsidR="00026BDE" w:rsidRPr="00F8700E" w:rsidRDefault="00026BDE" w:rsidP="00026BDE">
      <w:pPr>
        <w:pStyle w:val="ListParagraph"/>
        <w:spacing w:after="160" w:line="259" w:lineRule="auto"/>
        <w:ind w:left="1440" w:firstLine="0"/>
        <w:rPr>
          <w:rFonts w:cs="Times New Roman"/>
          <w:szCs w:val="24"/>
        </w:rPr>
      </w:pPr>
    </w:p>
    <w:p w14:paraId="27AFF62A" w14:textId="0CFB1266" w:rsidR="00847562" w:rsidRPr="00F8700E" w:rsidRDefault="00544895" w:rsidP="00F8700E">
      <w:pPr>
        <w:pStyle w:val="ListParagraph"/>
        <w:numPr>
          <w:ilvl w:val="0"/>
          <w:numId w:val="4"/>
        </w:numPr>
        <w:spacing w:after="160"/>
        <w:ind w:hanging="357"/>
        <w:rPr>
          <w:rFonts w:cs="Times New Roman"/>
          <w:szCs w:val="24"/>
        </w:rPr>
      </w:pPr>
      <w:r w:rsidRPr="00F8700E">
        <w:rPr>
          <w:rFonts w:cs="Times New Roman"/>
          <w:szCs w:val="24"/>
        </w:rPr>
        <w:t xml:space="preserve">Beattie, R., Zhong-Lin, L., &amp; Manis, F. (2011). Dyslexic Adults Can Learn </w:t>
      </w:r>
      <w:r w:rsidRPr="00F8700E">
        <w:rPr>
          <w:rFonts w:cs="Times New Roman"/>
          <w:szCs w:val="24"/>
        </w:rPr>
        <w:tab/>
        <w:t xml:space="preserve">from Repeated Stimulus Presentation but Have Difficulties in Excluding </w:t>
      </w:r>
      <w:r w:rsidRPr="00F8700E">
        <w:rPr>
          <w:rFonts w:cs="Times New Roman"/>
          <w:szCs w:val="24"/>
        </w:rPr>
        <w:tab/>
        <w:t xml:space="preserve">External Noise. </w:t>
      </w:r>
    </w:p>
    <w:p w14:paraId="27FAF234" w14:textId="35664965" w:rsidR="00847562" w:rsidRPr="00F8700E" w:rsidRDefault="00F8700E" w:rsidP="00F8700E">
      <w:pPr>
        <w:pStyle w:val="ListParagraph"/>
        <w:numPr>
          <w:ilvl w:val="1"/>
          <w:numId w:val="4"/>
        </w:numPr>
        <w:spacing w:after="160"/>
        <w:ind w:hanging="357"/>
        <w:rPr>
          <w:rFonts w:cs="Times New Roman"/>
          <w:szCs w:val="24"/>
        </w:rPr>
      </w:pPr>
      <w:r w:rsidRPr="00F8700E">
        <w:rPr>
          <w:rFonts w:cs="Times New Roman"/>
          <w:szCs w:val="24"/>
        </w:rPr>
        <w:t>Perceptual anchoring was established using time estimation task. Only a repeated condition was reported so, technically, there is no way to say if perceptual anchoring occurred.</w:t>
      </w:r>
    </w:p>
    <w:p w14:paraId="4AC49D2E" w14:textId="4BE84063" w:rsidR="00847562" w:rsidRPr="00F8700E" w:rsidRDefault="00847562" w:rsidP="00847562">
      <w:pPr>
        <w:pStyle w:val="Heading2"/>
        <w:rPr>
          <w:rFonts w:cs="Times New Roman"/>
          <w:szCs w:val="24"/>
        </w:rPr>
      </w:pPr>
      <w:r w:rsidRPr="00F8700E">
        <w:rPr>
          <w:rFonts w:cs="Times New Roman"/>
          <w:szCs w:val="24"/>
        </w:rPr>
        <w:lastRenderedPageBreak/>
        <w:t>Appendix C:</w:t>
      </w:r>
    </w:p>
    <w:tbl>
      <w:tblPr>
        <w:tblStyle w:val="TableGrid"/>
        <w:tblW w:w="0" w:type="auto"/>
        <w:tblLook w:val="04A0" w:firstRow="1" w:lastRow="0" w:firstColumn="1" w:lastColumn="0" w:noHBand="0" w:noVBand="1"/>
      </w:tblPr>
      <w:tblGrid>
        <w:gridCol w:w="3005"/>
        <w:gridCol w:w="1668"/>
        <w:gridCol w:w="4343"/>
      </w:tblGrid>
      <w:tr w:rsidR="00847562" w:rsidRPr="00F8700E" w14:paraId="6DFC88D3" w14:textId="77777777" w:rsidTr="00F60D59">
        <w:tc>
          <w:tcPr>
            <w:tcW w:w="3005" w:type="dxa"/>
            <w:tcBorders>
              <w:left w:val="nil"/>
              <w:bottom w:val="nil"/>
              <w:right w:val="nil"/>
            </w:tcBorders>
          </w:tcPr>
          <w:p w14:paraId="5AB227C4" w14:textId="77777777" w:rsidR="00847562" w:rsidRPr="00F8700E" w:rsidRDefault="00847562" w:rsidP="00F60D59">
            <w:pPr>
              <w:pStyle w:val="Tables"/>
              <w:jc w:val="center"/>
              <w:rPr>
                <w:rFonts w:cs="Times New Roman"/>
                <w:b/>
                <w:sz w:val="24"/>
                <w:szCs w:val="24"/>
              </w:rPr>
            </w:pPr>
            <w:r w:rsidRPr="00F8700E">
              <w:rPr>
                <w:rFonts w:cs="Times New Roman"/>
                <w:b/>
                <w:sz w:val="24"/>
                <w:szCs w:val="24"/>
              </w:rPr>
              <w:t>Category</w:t>
            </w:r>
          </w:p>
        </w:tc>
        <w:tc>
          <w:tcPr>
            <w:tcW w:w="1668" w:type="dxa"/>
            <w:tcBorders>
              <w:left w:val="nil"/>
              <w:bottom w:val="nil"/>
              <w:right w:val="nil"/>
            </w:tcBorders>
          </w:tcPr>
          <w:p w14:paraId="7FAC72F3" w14:textId="77777777" w:rsidR="00847562" w:rsidRPr="00F8700E" w:rsidRDefault="00847562" w:rsidP="00F60D59">
            <w:pPr>
              <w:pStyle w:val="Tables"/>
              <w:jc w:val="center"/>
              <w:rPr>
                <w:rFonts w:cs="Times New Roman"/>
                <w:b/>
                <w:sz w:val="24"/>
                <w:szCs w:val="24"/>
              </w:rPr>
            </w:pPr>
            <w:r w:rsidRPr="00F8700E">
              <w:rPr>
                <w:rFonts w:cs="Times New Roman"/>
                <w:b/>
                <w:sz w:val="24"/>
                <w:szCs w:val="24"/>
              </w:rPr>
              <w:t>Name</w:t>
            </w:r>
          </w:p>
        </w:tc>
        <w:tc>
          <w:tcPr>
            <w:tcW w:w="4343" w:type="dxa"/>
            <w:tcBorders>
              <w:left w:val="nil"/>
              <w:bottom w:val="nil"/>
              <w:right w:val="nil"/>
            </w:tcBorders>
          </w:tcPr>
          <w:p w14:paraId="15C2D1EF" w14:textId="77777777" w:rsidR="00847562" w:rsidRPr="00F8700E" w:rsidRDefault="00847562" w:rsidP="00F60D59">
            <w:pPr>
              <w:pStyle w:val="Tables"/>
              <w:jc w:val="center"/>
              <w:rPr>
                <w:rFonts w:cs="Times New Roman"/>
                <w:b/>
                <w:sz w:val="24"/>
                <w:szCs w:val="24"/>
              </w:rPr>
            </w:pPr>
            <w:r w:rsidRPr="00F8700E">
              <w:rPr>
                <w:rFonts w:cs="Times New Roman"/>
                <w:b/>
                <w:sz w:val="24"/>
                <w:szCs w:val="24"/>
              </w:rPr>
              <w:t>Description</w:t>
            </w:r>
          </w:p>
        </w:tc>
      </w:tr>
      <w:tr w:rsidR="00847562" w:rsidRPr="00F8700E" w14:paraId="266AF36D" w14:textId="77777777" w:rsidTr="00F60D59">
        <w:tc>
          <w:tcPr>
            <w:tcW w:w="3005" w:type="dxa"/>
            <w:tcBorders>
              <w:top w:val="nil"/>
              <w:left w:val="nil"/>
              <w:bottom w:val="single" w:sz="4" w:space="0" w:color="auto"/>
              <w:right w:val="nil"/>
            </w:tcBorders>
          </w:tcPr>
          <w:p w14:paraId="0C1A000A" w14:textId="77777777" w:rsidR="00847562" w:rsidRPr="00F8700E" w:rsidRDefault="00847562" w:rsidP="00F60D59">
            <w:pPr>
              <w:pStyle w:val="Tables"/>
              <w:rPr>
                <w:rFonts w:cs="Times New Roman"/>
                <w:b/>
                <w:sz w:val="24"/>
                <w:szCs w:val="24"/>
              </w:rPr>
            </w:pPr>
            <w:r w:rsidRPr="00F8700E">
              <w:rPr>
                <w:rFonts w:cs="Times New Roman"/>
                <w:b/>
                <w:sz w:val="24"/>
                <w:szCs w:val="24"/>
              </w:rPr>
              <w:t xml:space="preserve">Group Descriptors </w:t>
            </w:r>
          </w:p>
        </w:tc>
        <w:tc>
          <w:tcPr>
            <w:tcW w:w="1668" w:type="dxa"/>
            <w:tcBorders>
              <w:top w:val="nil"/>
              <w:left w:val="nil"/>
              <w:bottom w:val="single" w:sz="4" w:space="0" w:color="auto"/>
              <w:right w:val="nil"/>
            </w:tcBorders>
          </w:tcPr>
          <w:p w14:paraId="5C803CFF" w14:textId="77777777" w:rsidR="00847562" w:rsidRPr="00F8700E" w:rsidRDefault="00847562" w:rsidP="00F60D59">
            <w:pPr>
              <w:pStyle w:val="Tables"/>
              <w:rPr>
                <w:rFonts w:cs="Times New Roman"/>
                <w:sz w:val="24"/>
                <w:szCs w:val="24"/>
              </w:rPr>
            </w:pPr>
          </w:p>
        </w:tc>
        <w:tc>
          <w:tcPr>
            <w:tcW w:w="4343" w:type="dxa"/>
            <w:tcBorders>
              <w:top w:val="nil"/>
              <w:left w:val="nil"/>
              <w:bottom w:val="single" w:sz="4" w:space="0" w:color="auto"/>
              <w:right w:val="nil"/>
            </w:tcBorders>
          </w:tcPr>
          <w:p w14:paraId="3EB0F9C6" w14:textId="77777777" w:rsidR="00847562" w:rsidRPr="00F8700E" w:rsidRDefault="00847562" w:rsidP="00F60D59">
            <w:pPr>
              <w:pStyle w:val="Tables"/>
              <w:rPr>
                <w:rFonts w:cs="Times New Roman"/>
                <w:sz w:val="24"/>
                <w:szCs w:val="24"/>
              </w:rPr>
            </w:pPr>
          </w:p>
        </w:tc>
      </w:tr>
      <w:tr w:rsidR="00847562" w:rsidRPr="00F8700E" w14:paraId="3220BA3D" w14:textId="77777777" w:rsidTr="00F60D59">
        <w:tc>
          <w:tcPr>
            <w:tcW w:w="3005" w:type="dxa"/>
            <w:tcBorders>
              <w:left w:val="nil"/>
              <w:bottom w:val="nil"/>
              <w:right w:val="nil"/>
            </w:tcBorders>
          </w:tcPr>
          <w:p w14:paraId="700975E9" w14:textId="77777777" w:rsidR="00847562" w:rsidRPr="00F8700E" w:rsidRDefault="00847562" w:rsidP="00F60D59">
            <w:pPr>
              <w:pStyle w:val="Tables"/>
              <w:rPr>
                <w:rFonts w:cs="Times New Roman"/>
                <w:sz w:val="24"/>
                <w:szCs w:val="24"/>
              </w:rPr>
            </w:pPr>
          </w:p>
        </w:tc>
        <w:tc>
          <w:tcPr>
            <w:tcW w:w="1668" w:type="dxa"/>
            <w:tcBorders>
              <w:left w:val="nil"/>
              <w:bottom w:val="nil"/>
              <w:right w:val="nil"/>
            </w:tcBorders>
          </w:tcPr>
          <w:p w14:paraId="35FD5944" w14:textId="77777777" w:rsidR="00847562" w:rsidRPr="00F8700E" w:rsidRDefault="00847562" w:rsidP="00F60D59">
            <w:pPr>
              <w:pStyle w:val="Tables"/>
              <w:rPr>
                <w:rFonts w:cs="Times New Roman"/>
                <w:sz w:val="24"/>
                <w:szCs w:val="24"/>
              </w:rPr>
            </w:pPr>
            <w:r w:rsidRPr="00F8700E">
              <w:rPr>
                <w:rFonts w:cs="Times New Roman"/>
                <w:sz w:val="24"/>
                <w:szCs w:val="24"/>
              </w:rPr>
              <w:t>Criteria</w:t>
            </w:r>
          </w:p>
        </w:tc>
        <w:tc>
          <w:tcPr>
            <w:tcW w:w="4343" w:type="dxa"/>
            <w:tcBorders>
              <w:left w:val="nil"/>
              <w:bottom w:val="nil"/>
              <w:right w:val="nil"/>
            </w:tcBorders>
          </w:tcPr>
          <w:p w14:paraId="535655A7" w14:textId="77777777" w:rsidR="00847562" w:rsidRPr="00F8700E" w:rsidRDefault="00847562" w:rsidP="00F60D59">
            <w:pPr>
              <w:pStyle w:val="Tables"/>
              <w:rPr>
                <w:rFonts w:cs="Times New Roman"/>
                <w:sz w:val="24"/>
                <w:szCs w:val="24"/>
              </w:rPr>
            </w:pPr>
            <w:r w:rsidRPr="00F8700E">
              <w:rPr>
                <w:rFonts w:cs="Times New Roman"/>
                <w:sz w:val="24"/>
                <w:szCs w:val="24"/>
              </w:rPr>
              <w:t>Criteria used to define perceptual anchoring and reading ability</w:t>
            </w:r>
          </w:p>
        </w:tc>
      </w:tr>
      <w:tr w:rsidR="00847562" w:rsidRPr="00F8700E" w14:paraId="593BFD0A" w14:textId="77777777" w:rsidTr="00F60D59">
        <w:tc>
          <w:tcPr>
            <w:tcW w:w="3005" w:type="dxa"/>
            <w:tcBorders>
              <w:top w:val="nil"/>
              <w:left w:val="nil"/>
              <w:bottom w:val="nil"/>
              <w:right w:val="nil"/>
            </w:tcBorders>
          </w:tcPr>
          <w:p w14:paraId="2C959672"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01B9568E" w14:textId="77777777" w:rsidR="00847562" w:rsidRPr="00F8700E" w:rsidRDefault="00847562" w:rsidP="00F60D59">
            <w:pPr>
              <w:pStyle w:val="Tables"/>
              <w:rPr>
                <w:rFonts w:cs="Times New Roman"/>
                <w:sz w:val="24"/>
                <w:szCs w:val="24"/>
              </w:rPr>
            </w:pPr>
            <w:r w:rsidRPr="00F8700E">
              <w:rPr>
                <w:rFonts w:cs="Times New Roman"/>
                <w:sz w:val="24"/>
                <w:szCs w:val="24"/>
              </w:rPr>
              <w:t>N</w:t>
            </w:r>
          </w:p>
        </w:tc>
        <w:tc>
          <w:tcPr>
            <w:tcW w:w="4343" w:type="dxa"/>
            <w:tcBorders>
              <w:top w:val="nil"/>
              <w:left w:val="nil"/>
              <w:bottom w:val="nil"/>
              <w:right w:val="nil"/>
            </w:tcBorders>
          </w:tcPr>
          <w:p w14:paraId="3E3A2F79" w14:textId="77777777" w:rsidR="00847562" w:rsidRPr="00F8700E" w:rsidRDefault="00847562" w:rsidP="00F60D59">
            <w:pPr>
              <w:pStyle w:val="Tables"/>
              <w:rPr>
                <w:rFonts w:cs="Times New Roman"/>
                <w:sz w:val="24"/>
                <w:szCs w:val="24"/>
              </w:rPr>
            </w:pPr>
            <w:r w:rsidRPr="00F8700E">
              <w:rPr>
                <w:rFonts w:cs="Times New Roman"/>
                <w:sz w:val="24"/>
                <w:szCs w:val="24"/>
                <w:lang w:val="en-AU"/>
              </w:rPr>
              <w:t>Sample size</w:t>
            </w:r>
          </w:p>
        </w:tc>
      </w:tr>
      <w:tr w:rsidR="00847562" w:rsidRPr="00F8700E" w14:paraId="557022E9" w14:textId="77777777" w:rsidTr="00F60D59">
        <w:tc>
          <w:tcPr>
            <w:tcW w:w="3005" w:type="dxa"/>
            <w:tcBorders>
              <w:top w:val="nil"/>
              <w:left w:val="nil"/>
              <w:bottom w:val="nil"/>
              <w:right w:val="nil"/>
            </w:tcBorders>
          </w:tcPr>
          <w:p w14:paraId="6D674F6F"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2F5F3742" w14:textId="77777777" w:rsidR="00847562" w:rsidRPr="00F8700E" w:rsidRDefault="00847562" w:rsidP="00F60D59">
            <w:pPr>
              <w:pStyle w:val="Tables"/>
              <w:rPr>
                <w:rFonts w:cs="Times New Roman"/>
                <w:sz w:val="24"/>
                <w:szCs w:val="24"/>
              </w:rPr>
            </w:pPr>
            <w:r w:rsidRPr="00F8700E">
              <w:rPr>
                <w:rFonts w:cs="Times New Roman"/>
                <w:sz w:val="24"/>
                <w:szCs w:val="24"/>
              </w:rPr>
              <w:t>Age/Grade</w:t>
            </w:r>
          </w:p>
        </w:tc>
        <w:tc>
          <w:tcPr>
            <w:tcW w:w="4343" w:type="dxa"/>
            <w:tcBorders>
              <w:top w:val="nil"/>
              <w:left w:val="nil"/>
              <w:bottom w:val="nil"/>
              <w:right w:val="nil"/>
            </w:tcBorders>
          </w:tcPr>
          <w:p w14:paraId="72D7A209" w14:textId="77777777" w:rsidR="00847562" w:rsidRPr="00F8700E" w:rsidRDefault="00847562" w:rsidP="00F60D59">
            <w:pPr>
              <w:pStyle w:val="Tables"/>
              <w:rPr>
                <w:rFonts w:cs="Times New Roman"/>
                <w:sz w:val="24"/>
                <w:szCs w:val="24"/>
              </w:rPr>
            </w:pPr>
            <w:r w:rsidRPr="00F8700E">
              <w:rPr>
                <w:rFonts w:cs="Times New Roman"/>
                <w:sz w:val="24"/>
                <w:szCs w:val="24"/>
              </w:rPr>
              <w:t>Age and/or grade of groups (central tendency, variation and range)</w:t>
            </w:r>
          </w:p>
        </w:tc>
      </w:tr>
      <w:tr w:rsidR="00847562" w:rsidRPr="00F8700E" w14:paraId="5702B757" w14:textId="77777777" w:rsidTr="00F60D59">
        <w:tc>
          <w:tcPr>
            <w:tcW w:w="3005" w:type="dxa"/>
            <w:tcBorders>
              <w:top w:val="nil"/>
              <w:left w:val="nil"/>
              <w:bottom w:val="nil"/>
              <w:right w:val="nil"/>
            </w:tcBorders>
          </w:tcPr>
          <w:p w14:paraId="49F8375C"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5270A1C8" w14:textId="77777777" w:rsidR="00847562" w:rsidRPr="00F8700E" w:rsidRDefault="00847562" w:rsidP="00F60D59">
            <w:pPr>
              <w:pStyle w:val="Tables"/>
              <w:rPr>
                <w:rFonts w:cs="Times New Roman"/>
                <w:sz w:val="24"/>
                <w:szCs w:val="24"/>
              </w:rPr>
            </w:pPr>
            <w:r w:rsidRPr="00F8700E">
              <w:rPr>
                <w:rFonts w:cs="Times New Roman"/>
                <w:sz w:val="24"/>
                <w:szCs w:val="24"/>
              </w:rPr>
              <w:t>Sex</w:t>
            </w:r>
          </w:p>
        </w:tc>
        <w:tc>
          <w:tcPr>
            <w:tcW w:w="4343" w:type="dxa"/>
            <w:tcBorders>
              <w:top w:val="nil"/>
              <w:left w:val="nil"/>
              <w:bottom w:val="nil"/>
              <w:right w:val="nil"/>
            </w:tcBorders>
          </w:tcPr>
          <w:p w14:paraId="45FB5BEF" w14:textId="77777777" w:rsidR="00847562" w:rsidRPr="00F8700E" w:rsidRDefault="00847562" w:rsidP="00F60D59">
            <w:pPr>
              <w:pStyle w:val="Tables"/>
              <w:rPr>
                <w:rFonts w:cs="Times New Roman"/>
                <w:sz w:val="24"/>
                <w:szCs w:val="24"/>
              </w:rPr>
            </w:pPr>
            <w:r w:rsidRPr="00F8700E">
              <w:rPr>
                <w:rFonts w:cs="Times New Roman"/>
                <w:sz w:val="24"/>
                <w:szCs w:val="24"/>
              </w:rPr>
              <w:t>Number of females in group</w:t>
            </w:r>
          </w:p>
        </w:tc>
      </w:tr>
      <w:tr w:rsidR="00847562" w:rsidRPr="00F8700E" w14:paraId="6F07340C" w14:textId="77777777" w:rsidTr="00F60D59">
        <w:tc>
          <w:tcPr>
            <w:tcW w:w="3005" w:type="dxa"/>
            <w:tcBorders>
              <w:top w:val="nil"/>
              <w:left w:val="nil"/>
              <w:bottom w:val="nil"/>
              <w:right w:val="nil"/>
            </w:tcBorders>
          </w:tcPr>
          <w:p w14:paraId="1E406471"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275A02BE" w14:textId="77777777" w:rsidR="00847562" w:rsidRPr="00F8700E" w:rsidRDefault="00847562" w:rsidP="00F60D59">
            <w:pPr>
              <w:pStyle w:val="Tables"/>
              <w:rPr>
                <w:rFonts w:cs="Times New Roman"/>
                <w:sz w:val="24"/>
                <w:szCs w:val="24"/>
              </w:rPr>
            </w:pPr>
            <w:r w:rsidRPr="00F8700E">
              <w:rPr>
                <w:rFonts w:cs="Times New Roman"/>
                <w:sz w:val="24"/>
                <w:szCs w:val="24"/>
              </w:rPr>
              <w:t>IQ</w:t>
            </w:r>
          </w:p>
        </w:tc>
        <w:tc>
          <w:tcPr>
            <w:tcW w:w="4343" w:type="dxa"/>
            <w:tcBorders>
              <w:top w:val="nil"/>
              <w:left w:val="nil"/>
              <w:bottom w:val="nil"/>
              <w:right w:val="nil"/>
            </w:tcBorders>
          </w:tcPr>
          <w:p w14:paraId="4327F5A3" w14:textId="77777777" w:rsidR="00847562" w:rsidRPr="00F8700E" w:rsidRDefault="00847562" w:rsidP="00F60D59">
            <w:pPr>
              <w:pStyle w:val="Tables"/>
              <w:rPr>
                <w:rFonts w:cs="Times New Roman"/>
                <w:sz w:val="24"/>
                <w:szCs w:val="24"/>
              </w:rPr>
            </w:pPr>
            <w:r w:rsidRPr="00F8700E">
              <w:rPr>
                <w:rFonts w:cs="Times New Roman"/>
                <w:sz w:val="24"/>
                <w:szCs w:val="24"/>
              </w:rPr>
              <w:t>Verbal and Nonverbal scores</w:t>
            </w:r>
          </w:p>
        </w:tc>
      </w:tr>
      <w:tr w:rsidR="00847562" w:rsidRPr="00F8700E" w14:paraId="1089A581" w14:textId="77777777" w:rsidTr="00F60D59">
        <w:tc>
          <w:tcPr>
            <w:tcW w:w="3005" w:type="dxa"/>
            <w:tcBorders>
              <w:top w:val="nil"/>
              <w:left w:val="nil"/>
              <w:bottom w:val="single" w:sz="4" w:space="0" w:color="auto"/>
              <w:right w:val="nil"/>
            </w:tcBorders>
          </w:tcPr>
          <w:p w14:paraId="0264954B" w14:textId="77777777" w:rsidR="00847562" w:rsidRPr="00F8700E" w:rsidRDefault="00847562" w:rsidP="00F60D59">
            <w:pPr>
              <w:pStyle w:val="Tables"/>
              <w:rPr>
                <w:rFonts w:cs="Times New Roman"/>
                <w:sz w:val="24"/>
                <w:szCs w:val="24"/>
              </w:rPr>
            </w:pPr>
          </w:p>
        </w:tc>
        <w:tc>
          <w:tcPr>
            <w:tcW w:w="1668" w:type="dxa"/>
            <w:tcBorders>
              <w:top w:val="nil"/>
              <w:left w:val="nil"/>
              <w:bottom w:val="single" w:sz="4" w:space="0" w:color="auto"/>
              <w:right w:val="nil"/>
            </w:tcBorders>
          </w:tcPr>
          <w:p w14:paraId="67C00522" w14:textId="77777777" w:rsidR="00847562" w:rsidRPr="00F8700E" w:rsidRDefault="00847562" w:rsidP="00F60D59">
            <w:pPr>
              <w:pStyle w:val="Tables"/>
              <w:rPr>
                <w:rFonts w:cs="Times New Roman"/>
                <w:sz w:val="24"/>
                <w:szCs w:val="24"/>
              </w:rPr>
            </w:pPr>
            <w:r w:rsidRPr="00F8700E">
              <w:rPr>
                <w:rFonts w:cs="Times New Roman"/>
                <w:sz w:val="24"/>
                <w:szCs w:val="24"/>
              </w:rPr>
              <w:t>Language</w:t>
            </w:r>
          </w:p>
        </w:tc>
        <w:tc>
          <w:tcPr>
            <w:tcW w:w="4343" w:type="dxa"/>
            <w:tcBorders>
              <w:top w:val="nil"/>
              <w:left w:val="nil"/>
              <w:bottom w:val="single" w:sz="4" w:space="0" w:color="auto"/>
              <w:right w:val="nil"/>
            </w:tcBorders>
          </w:tcPr>
          <w:p w14:paraId="4C91CD9C" w14:textId="77777777" w:rsidR="00847562" w:rsidRPr="00F8700E" w:rsidRDefault="00847562" w:rsidP="00F60D59">
            <w:pPr>
              <w:pStyle w:val="Tables"/>
              <w:rPr>
                <w:rFonts w:cs="Times New Roman"/>
                <w:sz w:val="24"/>
                <w:szCs w:val="24"/>
              </w:rPr>
            </w:pPr>
            <w:r w:rsidRPr="00F8700E">
              <w:rPr>
                <w:rFonts w:cs="Times New Roman"/>
                <w:sz w:val="24"/>
                <w:szCs w:val="24"/>
              </w:rPr>
              <w:t>Dominant language/written language</w:t>
            </w:r>
          </w:p>
        </w:tc>
      </w:tr>
      <w:tr w:rsidR="00847562" w:rsidRPr="00F8700E" w14:paraId="2A5C3FB9" w14:textId="77777777" w:rsidTr="00F60D59">
        <w:tc>
          <w:tcPr>
            <w:tcW w:w="3005" w:type="dxa"/>
            <w:tcBorders>
              <w:left w:val="nil"/>
              <w:bottom w:val="nil"/>
              <w:right w:val="nil"/>
            </w:tcBorders>
          </w:tcPr>
          <w:p w14:paraId="0B9EF273" w14:textId="77777777" w:rsidR="00847562" w:rsidRPr="00F8700E" w:rsidRDefault="00847562" w:rsidP="00F60D59">
            <w:pPr>
              <w:pStyle w:val="Tables"/>
              <w:rPr>
                <w:rFonts w:cs="Times New Roman"/>
                <w:b/>
                <w:sz w:val="24"/>
                <w:szCs w:val="24"/>
              </w:rPr>
            </w:pPr>
            <w:r w:rsidRPr="00F8700E">
              <w:rPr>
                <w:rFonts w:cs="Times New Roman"/>
                <w:b/>
                <w:sz w:val="24"/>
                <w:szCs w:val="24"/>
              </w:rPr>
              <w:t>Perceptual Anchoring</w:t>
            </w:r>
          </w:p>
        </w:tc>
        <w:tc>
          <w:tcPr>
            <w:tcW w:w="1668" w:type="dxa"/>
            <w:tcBorders>
              <w:left w:val="nil"/>
              <w:bottom w:val="nil"/>
              <w:right w:val="nil"/>
            </w:tcBorders>
          </w:tcPr>
          <w:p w14:paraId="6BC7DC2C" w14:textId="77777777" w:rsidR="00847562" w:rsidRPr="00F8700E" w:rsidRDefault="00847562" w:rsidP="00F60D59">
            <w:pPr>
              <w:pStyle w:val="Tables"/>
              <w:rPr>
                <w:rFonts w:cs="Times New Roman"/>
                <w:sz w:val="24"/>
                <w:szCs w:val="24"/>
              </w:rPr>
            </w:pPr>
          </w:p>
        </w:tc>
        <w:tc>
          <w:tcPr>
            <w:tcW w:w="4343" w:type="dxa"/>
            <w:tcBorders>
              <w:left w:val="nil"/>
              <w:bottom w:val="nil"/>
              <w:right w:val="nil"/>
            </w:tcBorders>
          </w:tcPr>
          <w:p w14:paraId="6D567F3D" w14:textId="77777777" w:rsidR="00847562" w:rsidRPr="00F8700E" w:rsidRDefault="00847562" w:rsidP="00F60D59">
            <w:pPr>
              <w:pStyle w:val="Tables"/>
              <w:rPr>
                <w:rFonts w:cs="Times New Roman"/>
                <w:sz w:val="24"/>
                <w:szCs w:val="24"/>
              </w:rPr>
            </w:pPr>
          </w:p>
        </w:tc>
      </w:tr>
      <w:tr w:rsidR="00847562" w:rsidRPr="00F8700E" w14:paraId="07B77D31" w14:textId="77777777" w:rsidTr="00F60D59">
        <w:tc>
          <w:tcPr>
            <w:tcW w:w="3005" w:type="dxa"/>
            <w:tcBorders>
              <w:top w:val="nil"/>
              <w:left w:val="nil"/>
              <w:bottom w:val="nil"/>
              <w:right w:val="nil"/>
            </w:tcBorders>
          </w:tcPr>
          <w:p w14:paraId="300559B9"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584FECEA" w14:textId="77777777" w:rsidR="00847562" w:rsidRPr="00F8700E" w:rsidRDefault="00847562" w:rsidP="00F60D59">
            <w:pPr>
              <w:pStyle w:val="Tables"/>
              <w:rPr>
                <w:rFonts w:cs="Times New Roman"/>
                <w:sz w:val="24"/>
                <w:szCs w:val="24"/>
              </w:rPr>
            </w:pPr>
            <w:r w:rsidRPr="00F8700E">
              <w:rPr>
                <w:rFonts w:cs="Times New Roman"/>
                <w:sz w:val="24"/>
                <w:szCs w:val="24"/>
              </w:rPr>
              <w:t>Classification</w:t>
            </w:r>
          </w:p>
        </w:tc>
        <w:tc>
          <w:tcPr>
            <w:tcW w:w="4343" w:type="dxa"/>
            <w:tcBorders>
              <w:top w:val="nil"/>
              <w:left w:val="nil"/>
              <w:bottom w:val="nil"/>
              <w:right w:val="nil"/>
            </w:tcBorders>
          </w:tcPr>
          <w:p w14:paraId="0D40BDA1" w14:textId="77777777" w:rsidR="00847562" w:rsidRPr="00F8700E" w:rsidRDefault="00847562" w:rsidP="00F60D59">
            <w:pPr>
              <w:pStyle w:val="Tables"/>
              <w:rPr>
                <w:rFonts w:cs="Times New Roman"/>
                <w:sz w:val="24"/>
                <w:szCs w:val="24"/>
              </w:rPr>
            </w:pPr>
            <w:r w:rsidRPr="00F8700E">
              <w:rPr>
                <w:rFonts w:cs="Times New Roman"/>
                <w:sz w:val="24"/>
                <w:szCs w:val="24"/>
              </w:rPr>
              <w:t>Typical/atypical parameters</w:t>
            </w:r>
          </w:p>
        </w:tc>
      </w:tr>
      <w:tr w:rsidR="00847562" w:rsidRPr="00F8700E" w14:paraId="16AB3B76" w14:textId="77777777" w:rsidTr="00F60D59">
        <w:tc>
          <w:tcPr>
            <w:tcW w:w="3005" w:type="dxa"/>
            <w:tcBorders>
              <w:top w:val="nil"/>
              <w:left w:val="nil"/>
              <w:bottom w:val="nil"/>
              <w:right w:val="nil"/>
            </w:tcBorders>
          </w:tcPr>
          <w:p w14:paraId="254A8104"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3644437B" w14:textId="77777777" w:rsidR="00847562" w:rsidRPr="00F8700E" w:rsidRDefault="00847562" w:rsidP="00F60D59">
            <w:pPr>
              <w:pStyle w:val="Tables"/>
              <w:rPr>
                <w:rFonts w:cs="Times New Roman"/>
                <w:sz w:val="24"/>
                <w:szCs w:val="24"/>
              </w:rPr>
            </w:pPr>
            <w:r w:rsidRPr="00F8700E">
              <w:rPr>
                <w:rFonts w:cs="Times New Roman"/>
                <w:sz w:val="24"/>
                <w:szCs w:val="24"/>
              </w:rPr>
              <w:t>Measure</w:t>
            </w:r>
          </w:p>
        </w:tc>
        <w:tc>
          <w:tcPr>
            <w:tcW w:w="4343" w:type="dxa"/>
            <w:tcBorders>
              <w:top w:val="nil"/>
              <w:left w:val="nil"/>
              <w:bottom w:val="nil"/>
              <w:right w:val="nil"/>
            </w:tcBorders>
          </w:tcPr>
          <w:p w14:paraId="73DD9508" w14:textId="77777777" w:rsidR="00847562" w:rsidRPr="00F8700E" w:rsidRDefault="00847562" w:rsidP="00F60D59">
            <w:pPr>
              <w:pStyle w:val="Tables"/>
              <w:rPr>
                <w:rFonts w:cs="Times New Roman"/>
                <w:sz w:val="24"/>
                <w:szCs w:val="24"/>
              </w:rPr>
            </w:pPr>
            <w:r w:rsidRPr="00F8700E">
              <w:rPr>
                <w:rFonts w:cs="Times New Roman"/>
                <w:sz w:val="24"/>
                <w:szCs w:val="24"/>
              </w:rPr>
              <w:t>Measures used</w:t>
            </w:r>
          </w:p>
        </w:tc>
      </w:tr>
      <w:tr w:rsidR="00847562" w:rsidRPr="00F8700E" w14:paraId="446F1590" w14:textId="77777777" w:rsidTr="00F60D59">
        <w:tc>
          <w:tcPr>
            <w:tcW w:w="3005" w:type="dxa"/>
            <w:tcBorders>
              <w:top w:val="nil"/>
              <w:left w:val="nil"/>
              <w:bottom w:val="single" w:sz="4" w:space="0" w:color="auto"/>
              <w:right w:val="nil"/>
            </w:tcBorders>
          </w:tcPr>
          <w:p w14:paraId="4214D28B" w14:textId="77777777" w:rsidR="00847562" w:rsidRPr="00F8700E" w:rsidRDefault="00847562" w:rsidP="00F60D59">
            <w:pPr>
              <w:pStyle w:val="Tables"/>
              <w:rPr>
                <w:rFonts w:cs="Times New Roman"/>
                <w:sz w:val="24"/>
                <w:szCs w:val="24"/>
              </w:rPr>
            </w:pPr>
          </w:p>
        </w:tc>
        <w:tc>
          <w:tcPr>
            <w:tcW w:w="1668" w:type="dxa"/>
            <w:tcBorders>
              <w:top w:val="nil"/>
              <w:left w:val="nil"/>
              <w:bottom w:val="single" w:sz="4" w:space="0" w:color="auto"/>
              <w:right w:val="nil"/>
            </w:tcBorders>
          </w:tcPr>
          <w:p w14:paraId="33DDEC93" w14:textId="77777777" w:rsidR="00847562" w:rsidRPr="00F8700E" w:rsidRDefault="00847562" w:rsidP="00F60D59">
            <w:pPr>
              <w:pStyle w:val="Tables"/>
              <w:rPr>
                <w:rFonts w:cs="Times New Roman"/>
                <w:sz w:val="24"/>
                <w:szCs w:val="24"/>
              </w:rPr>
            </w:pPr>
            <w:r w:rsidRPr="00F8700E">
              <w:rPr>
                <w:rFonts w:cs="Times New Roman"/>
                <w:sz w:val="24"/>
                <w:szCs w:val="24"/>
              </w:rPr>
              <w:t>Statistics</w:t>
            </w:r>
          </w:p>
        </w:tc>
        <w:tc>
          <w:tcPr>
            <w:tcW w:w="4343" w:type="dxa"/>
            <w:tcBorders>
              <w:top w:val="nil"/>
              <w:left w:val="nil"/>
              <w:bottom w:val="single" w:sz="4" w:space="0" w:color="auto"/>
              <w:right w:val="nil"/>
            </w:tcBorders>
          </w:tcPr>
          <w:p w14:paraId="63C98137" w14:textId="77777777" w:rsidR="00847562" w:rsidRPr="00F8700E" w:rsidRDefault="00847562" w:rsidP="00F60D59">
            <w:pPr>
              <w:pStyle w:val="Tables"/>
              <w:rPr>
                <w:rFonts w:cs="Times New Roman"/>
                <w:sz w:val="24"/>
                <w:szCs w:val="24"/>
              </w:rPr>
            </w:pPr>
            <w:r w:rsidRPr="00F8700E">
              <w:rPr>
                <w:rFonts w:cs="Times New Roman"/>
                <w:sz w:val="24"/>
                <w:szCs w:val="24"/>
              </w:rPr>
              <w:t>Effect size (e.g., d’)</w:t>
            </w:r>
          </w:p>
        </w:tc>
      </w:tr>
      <w:tr w:rsidR="00847562" w:rsidRPr="00F8700E" w14:paraId="27401036" w14:textId="77777777" w:rsidTr="00F60D59">
        <w:tc>
          <w:tcPr>
            <w:tcW w:w="3005" w:type="dxa"/>
            <w:tcBorders>
              <w:left w:val="nil"/>
              <w:bottom w:val="nil"/>
              <w:right w:val="nil"/>
            </w:tcBorders>
          </w:tcPr>
          <w:p w14:paraId="749B1571" w14:textId="77777777" w:rsidR="00847562" w:rsidRPr="00F8700E" w:rsidRDefault="00847562" w:rsidP="00F60D59">
            <w:pPr>
              <w:pStyle w:val="Tables"/>
              <w:rPr>
                <w:rFonts w:cs="Times New Roman"/>
                <w:b/>
                <w:sz w:val="24"/>
                <w:szCs w:val="24"/>
              </w:rPr>
            </w:pPr>
            <w:r w:rsidRPr="00F8700E">
              <w:rPr>
                <w:rFonts w:cs="Times New Roman"/>
                <w:b/>
                <w:sz w:val="24"/>
                <w:szCs w:val="24"/>
              </w:rPr>
              <w:t>Reading Ability</w:t>
            </w:r>
          </w:p>
        </w:tc>
        <w:tc>
          <w:tcPr>
            <w:tcW w:w="1668" w:type="dxa"/>
            <w:tcBorders>
              <w:left w:val="nil"/>
              <w:bottom w:val="nil"/>
              <w:right w:val="nil"/>
            </w:tcBorders>
          </w:tcPr>
          <w:p w14:paraId="7C9291F9" w14:textId="77777777" w:rsidR="00847562" w:rsidRPr="00F8700E" w:rsidRDefault="00847562" w:rsidP="00F60D59">
            <w:pPr>
              <w:pStyle w:val="Tables"/>
              <w:rPr>
                <w:rFonts w:cs="Times New Roman"/>
                <w:sz w:val="24"/>
                <w:szCs w:val="24"/>
              </w:rPr>
            </w:pPr>
          </w:p>
        </w:tc>
        <w:tc>
          <w:tcPr>
            <w:tcW w:w="4343" w:type="dxa"/>
            <w:tcBorders>
              <w:left w:val="nil"/>
              <w:bottom w:val="nil"/>
              <w:right w:val="nil"/>
            </w:tcBorders>
          </w:tcPr>
          <w:p w14:paraId="1DF6FC77" w14:textId="77777777" w:rsidR="00847562" w:rsidRPr="00F8700E" w:rsidRDefault="00847562" w:rsidP="00F60D59">
            <w:pPr>
              <w:pStyle w:val="Tables"/>
              <w:rPr>
                <w:rFonts w:cs="Times New Roman"/>
                <w:sz w:val="24"/>
                <w:szCs w:val="24"/>
              </w:rPr>
            </w:pPr>
          </w:p>
        </w:tc>
      </w:tr>
      <w:tr w:rsidR="00847562" w:rsidRPr="00F8700E" w14:paraId="4F678F54" w14:textId="77777777" w:rsidTr="00F60D59">
        <w:tc>
          <w:tcPr>
            <w:tcW w:w="3005" w:type="dxa"/>
            <w:tcBorders>
              <w:top w:val="nil"/>
              <w:left w:val="nil"/>
              <w:bottom w:val="nil"/>
              <w:right w:val="nil"/>
            </w:tcBorders>
          </w:tcPr>
          <w:p w14:paraId="5FBABD2F"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19F89E8D" w14:textId="77777777" w:rsidR="00847562" w:rsidRPr="00F8700E" w:rsidRDefault="00847562" w:rsidP="00F60D59">
            <w:pPr>
              <w:pStyle w:val="Tables"/>
              <w:rPr>
                <w:rFonts w:cs="Times New Roman"/>
                <w:sz w:val="24"/>
                <w:szCs w:val="24"/>
              </w:rPr>
            </w:pPr>
            <w:r w:rsidRPr="00F8700E">
              <w:rPr>
                <w:rFonts w:cs="Times New Roman"/>
                <w:sz w:val="24"/>
                <w:szCs w:val="24"/>
              </w:rPr>
              <w:t>Tests</w:t>
            </w:r>
          </w:p>
        </w:tc>
        <w:tc>
          <w:tcPr>
            <w:tcW w:w="4343" w:type="dxa"/>
            <w:tcBorders>
              <w:top w:val="nil"/>
              <w:left w:val="nil"/>
              <w:bottom w:val="nil"/>
              <w:right w:val="nil"/>
            </w:tcBorders>
          </w:tcPr>
          <w:p w14:paraId="71E73EF7" w14:textId="77777777" w:rsidR="00847562" w:rsidRPr="00F8700E" w:rsidRDefault="00847562" w:rsidP="00F60D59">
            <w:pPr>
              <w:pStyle w:val="Tables"/>
              <w:rPr>
                <w:rFonts w:cs="Times New Roman"/>
                <w:sz w:val="24"/>
                <w:szCs w:val="24"/>
              </w:rPr>
            </w:pPr>
            <w:r w:rsidRPr="00F8700E">
              <w:rPr>
                <w:rFonts w:cs="Times New Roman"/>
                <w:sz w:val="24"/>
                <w:szCs w:val="24"/>
              </w:rPr>
              <w:t>Test/Assessments used</w:t>
            </w:r>
          </w:p>
        </w:tc>
      </w:tr>
      <w:tr w:rsidR="00847562" w:rsidRPr="00F8700E" w14:paraId="1A43F698" w14:textId="77777777" w:rsidTr="00F60D59">
        <w:tc>
          <w:tcPr>
            <w:tcW w:w="3005" w:type="dxa"/>
            <w:tcBorders>
              <w:top w:val="nil"/>
              <w:left w:val="nil"/>
              <w:bottom w:val="nil"/>
              <w:right w:val="nil"/>
            </w:tcBorders>
          </w:tcPr>
          <w:p w14:paraId="52F25E42" w14:textId="77777777" w:rsidR="00847562" w:rsidRPr="00F8700E" w:rsidRDefault="00847562" w:rsidP="00F60D59">
            <w:pPr>
              <w:pStyle w:val="Tables"/>
              <w:rPr>
                <w:rFonts w:cs="Times New Roman"/>
                <w:sz w:val="24"/>
                <w:szCs w:val="24"/>
              </w:rPr>
            </w:pPr>
          </w:p>
        </w:tc>
        <w:tc>
          <w:tcPr>
            <w:tcW w:w="1668" w:type="dxa"/>
            <w:tcBorders>
              <w:top w:val="nil"/>
              <w:left w:val="nil"/>
              <w:bottom w:val="nil"/>
              <w:right w:val="nil"/>
            </w:tcBorders>
          </w:tcPr>
          <w:p w14:paraId="3716F487" w14:textId="77777777" w:rsidR="00847562" w:rsidRPr="00F8700E" w:rsidRDefault="00847562" w:rsidP="00F60D59">
            <w:pPr>
              <w:pStyle w:val="Tables"/>
              <w:rPr>
                <w:rFonts w:cs="Times New Roman"/>
                <w:sz w:val="24"/>
                <w:szCs w:val="24"/>
              </w:rPr>
            </w:pPr>
            <w:r w:rsidRPr="00F8700E">
              <w:rPr>
                <w:rFonts w:cs="Times New Roman"/>
                <w:sz w:val="24"/>
                <w:szCs w:val="24"/>
              </w:rPr>
              <w:t>Impaired</w:t>
            </w:r>
          </w:p>
        </w:tc>
        <w:tc>
          <w:tcPr>
            <w:tcW w:w="4343" w:type="dxa"/>
            <w:tcBorders>
              <w:top w:val="nil"/>
              <w:left w:val="nil"/>
              <w:bottom w:val="nil"/>
              <w:right w:val="nil"/>
            </w:tcBorders>
          </w:tcPr>
          <w:p w14:paraId="06AF9DC3" w14:textId="77777777" w:rsidR="00847562" w:rsidRPr="00F8700E" w:rsidRDefault="00847562" w:rsidP="00F60D59">
            <w:pPr>
              <w:pStyle w:val="Tables"/>
              <w:rPr>
                <w:rFonts w:cs="Times New Roman"/>
                <w:sz w:val="24"/>
                <w:szCs w:val="24"/>
              </w:rPr>
            </w:pPr>
            <w:r w:rsidRPr="00F8700E">
              <w:rPr>
                <w:rFonts w:cs="Times New Roman"/>
                <w:sz w:val="24"/>
                <w:szCs w:val="24"/>
              </w:rPr>
              <w:t>Means (M), standard deviations (SD), and effect sizes (ES) on tests showing impaired reading</w:t>
            </w:r>
          </w:p>
        </w:tc>
      </w:tr>
      <w:tr w:rsidR="00847562" w:rsidRPr="00F8700E" w14:paraId="44D17A1A" w14:textId="77777777" w:rsidTr="00F60D59">
        <w:tc>
          <w:tcPr>
            <w:tcW w:w="3005" w:type="dxa"/>
            <w:tcBorders>
              <w:top w:val="nil"/>
              <w:left w:val="nil"/>
              <w:bottom w:val="single" w:sz="4" w:space="0" w:color="auto"/>
              <w:right w:val="nil"/>
            </w:tcBorders>
          </w:tcPr>
          <w:p w14:paraId="3C57D3E6" w14:textId="77777777" w:rsidR="00847562" w:rsidRPr="00F8700E" w:rsidRDefault="00847562" w:rsidP="00F60D59">
            <w:pPr>
              <w:pStyle w:val="Tables"/>
              <w:rPr>
                <w:rFonts w:cs="Times New Roman"/>
                <w:sz w:val="24"/>
                <w:szCs w:val="24"/>
              </w:rPr>
            </w:pPr>
          </w:p>
        </w:tc>
        <w:tc>
          <w:tcPr>
            <w:tcW w:w="1668" w:type="dxa"/>
            <w:tcBorders>
              <w:top w:val="nil"/>
              <w:left w:val="nil"/>
              <w:bottom w:val="single" w:sz="4" w:space="0" w:color="auto"/>
              <w:right w:val="nil"/>
            </w:tcBorders>
          </w:tcPr>
          <w:p w14:paraId="1068FE9E" w14:textId="77777777" w:rsidR="00847562" w:rsidRPr="00F8700E" w:rsidRDefault="00847562" w:rsidP="00F60D59">
            <w:pPr>
              <w:pStyle w:val="Tables"/>
              <w:rPr>
                <w:rFonts w:cs="Times New Roman"/>
                <w:sz w:val="24"/>
                <w:szCs w:val="24"/>
              </w:rPr>
            </w:pPr>
            <w:r w:rsidRPr="00F8700E">
              <w:rPr>
                <w:rFonts w:cs="Times New Roman"/>
                <w:sz w:val="24"/>
                <w:szCs w:val="24"/>
              </w:rPr>
              <w:t>Spared</w:t>
            </w:r>
          </w:p>
        </w:tc>
        <w:tc>
          <w:tcPr>
            <w:tcW w:w="4343" w:type="dxa"/>
            <w:tcBorders>
              <w:top w:val="nil"/>
              <w:left w:val="nil"/>
              <w:bottom w:val="single" w:sz="4" w:space="0" w:color="auto"/>
              <w:right w:val="nil"/>
            </w:tcBorders>
          </w:tcPr>
          <w:p w14:paraId="26FCA1A2" w14:textId="77777777" w:rsidR="00847562" w:rsidRPr="00F8700E" w:rsidRDefault="00847562" w:rsidP="00F60D59">
            <w:pPr>
              <w:pStyle w:val="Tables"/>
              <w:rPr>
                <w:rFonts w:cs="Times New Roman"/>
                <w:sz w:val="24"/>
                <w:szCs w:val="24"/>
              </w:rPr>
            </w:pPr>
            <w:r w:rsidRPr="00F8700E">
              <w:rPr>
                <w:rFonts w:cs="Times New Roman"/>
                <w:sz w:val="24"/>
                <w:szCs w:val="24"/>
              </w:rPr>
              <w:t>M, SD and ES on tests showing unimpaired reading.</w:t>
            </w:r>
          </w:p>
        </w:tc>
      </w:tr>
      <w:tr w:rsidR="00847562" w:rsidRPr="00F8700E" w14:paraId="0018A6EF" w14:textId="77777777" w:rsidTr="00F60D59">
        <w:tc>
          <w:tcPr>
            <w:tcW w:w="3005" w:type="dxa"/>
            <w:tcBorders>
              <w:left w:val="nil"/>
              <w:bottom w:val="nil"/>
              <w:right w:val="nil"/>
            </w:tcBorders>
          </w:tcPr>
          <w:p w14:paraId="3345FE67" w14:textId="77777777" w:rsidR="00847562" w:rsidRPr="00F8700E" w:rsidRDefault="00847562" w:rsidP="00F60D59">
            <w:pPr>
              <w:pStyle w:val="Tables"/>
              <w:rPr>
                <w:rFonts w:cs="Times New Roman"/>
                <w:b/>
                <w:sz w:val="24"/>
                <w:szCs w:val="24"/>
              </w:rPr>
            </w:pPr>
            <w:r w:rsidRPr="00F8700E">
              <w:rPr>
                <w:rFonts w:cs="Times New Roman"/>
                <w:b/>
                <w:sz w:val="24"/>
                <w:szCs w:val="24"/>
              </w:rPr>
              <w:t>Theory</w:t>
            </w:r>
          </w:p>
        </w:tc>
        <w:tc>
          <w:tcPr>
            <w:tcW w:w="1668" w:type="dxa"/>
            <w:tcBorders>
              <w:left w:val="nil"/>
              <w:bottom w:val="nil"/>
              <w:right w:val="nil"/>
            </w:tcBorders>
          </w:tcPr>
          <w:p w14:paraId="1F3D8FC9" w14:textId="77777777" w:rsidR="00847562" w:rsidRPr="00F8700E" w:rsidRDefault="00847562" w:rsidP="00F60D59">
            <w:pPr>
              <w:pStyle w:val="Tables"/>
              <w:rPr>
                <w:rFonts w:cs="Times New Roman"/>
                <w:sz w:val="24"/>
                <w:szCs w:val="24"/>
              </w:rPr>
            </w:pPr>
          </w:p>
        </w:tc>
        <w:tc>
          <w:tcPr>
            <w:tcW w:w="4343" w:type="dxa"/>
            <w:tcBorders>
              <w:left w:val="nil"/>
              <w:bottom w:val="nil"/>
              <w:right w:val="nil"/>
            </w:tcBorders>
          </w:tcPr>
          <w:p w14:paraId="17C1C7BF" w14:textId="77777777" w:rsidR="00847562" w:rsidRPr="00F8700E" w:rsidRDefault="00847562" w:rsidP="00F60D59">
            <w:pPr>
              <w:pStyle w:val="Tables"/>
              <w:rPr>
                <w:rFonts w:cs="Times New Roman"/>
                <w:sz w:val="24"/>
                <w:szCs w:val="24"/>
              </w:rPr>
            </w:pPr>
          </w:p>
        </w:tc>
      </w:tr>
      <w:tr w:rsidR="00847562" w:rsidRPr="00F8700E" w14:paraId="22220F3D" w14:textId="77777777" w:rsidTr="00F60D59">
        <w:tc>
          <w:tcPr>
            <w:tcW w:w="3005" w:type="dxa"/>
            <w:tcBorders>
              <w:top w:val="nil"/>
              <w:left w:val="nil"/>
              <w:right w:val="nil"/>
            </w:tcBorders>
          </w:tcPr>
          <w:p w14:paraId="4CC8C94F" w14:textId="77777777" w:rsidR="00847562" w:rsidRPr="00F8700E" w:rsidRDefault="00847562" w:rsidP="00F60D59">
            <w:pPr>
              <w:pStyle w:val="Tables"/>
              <w:rPr>
                <w:rFonts w:cs="Times New Roman"/>
                <w:sz w:val="24"/>
                <w:szCs w:val="24"/>
              </w:rPr>
            </w:pPr>
          </w:p>
        </w:tc>
        <w:tc>
          <w:tcPr>
            <w:tcW w:w="1668" w:type="dxa"/>
            <w:tcBorders>
              <w:top w:val="nil"/>
              <w:left w:val="nil"/>
              <w:right w:val="nil"/>
            </w:tcBorders>
          </w:tcPr>
          <w:p w14:paraId="4DDFB52A" w14:textId="77777777" w:rsidR="00847562" w:rsidRPr="00F8700E" w:rsidRDefault="00847562" w:rsidP="00F60D59">
            <w:pPr>
              <w:pStyle w:val="Tables"/>
              <w:rPr>
                <w:rFonts w:cs="Times New Roman"/>
                <w:sz w:val="24"/>
                <w:szCs w:val="24"/>
              </w:rPr>
            </w:pPr>
            <w:r w:rsidRPr="00F8700E">
              <w:rPr>
                <w:rFonts w:cs="Times New Roman"/>
                <w:sz w:val="24"/>
                <w:szCs w:val="24"/>
              </w:rPr>
              <w:t>Quotes</w:t>
            </w:r>
          </w:p>
        </w:tc>
        <w:tc>
          <w:tcPr>
            <w:tcW w:w="4343" w:type="dxa"/>
            <w:tcBorders>
              <w:top w:val="nil"/>
              <w:left w:val="nil"/>
              <w:right w:val="nil"/>
            </w:tcBorders>
          </w:tcPr>
          <w:p w14:paraId="1A35EF17" w14:textId="77777777" w:rsidR="00847562" w:rsidRPr="00F8700E" w:rsidRDefault="00847562" w:rsidP="00F60D59">
            <w:pPr>
              <w:pStyle w:val="Tables"/>
              <w:keepNext/>
              <w:rPr>
                <w:rFonts w:cs="Times New Roman"/>
                <w:sz w:val="24"/>
                <w:szCs w:val="24"/>
              </w:rPr>
            </w:pPr>
            <w:r w:rsidRPr="00F8700E">
              <w:rPr>
                <w:rFonts w:cs="Times New Roman"/>
                <w:sz w:val="24"/>
                <w:szCs w:val="24"/>
              </w:rPr>
              <w:t>A list of quotes pertaining to the rationale, theoretical motivation, and hypotheses of the work.</w:t>
            </w:r>
          </w:p>
        </w:tc>
      </w:tr>
    </w:tbl>
    <w:p w14:paraId="581451EE" w14:textId="77777777" w:rsidR="00847562" w:rsidRPr="00F8700E" w:rsidRDefault="00847562" w:rsidP="00847562">
      <w:pPr>
        <w:spacing w:after="160" w:line="259" w:lineRule="auto"/>
        <w:ind w:firstLine="0"/>
        <w:rPr>
          <w:rFonts w:cs="Times New Roman"/>
          <w:szCs w:val="24"/>
        </w:rPr>
      </w:pPr>
    </w:p>
    <w:p w14:paraId="5F5FF258" w14:textId="77777777" w:rsidR="00544895" w:rsidRPr="00F8700E" w:rsidRDefault="00544895" w:rsidP="00544895">
      <w:pPr>
        <w:rPr>
          <w:rFonts w:cs="Times New Roman"/>
          <w:szCs w:val="24"/>
        </w:rPr>
      </w:pPr>
    </w:p>
    <w:p w14:paraId="2B0CA3BA" w14:textId="77777777" w:rsidR="00544895" w:rsidRPr="00F8700E" w:rsidRDefault="00544895" w:rsidP="00544895">
      <w:pPr>
        <w:rPr>
          <w:rFonts w:cs="Times New Roman"/>
          <w:szCs w:val="24"/>
        </w:rPr>
      </w:pPr>
    </w:p>
    <w:p w14:paraId="4ADA739E" w14:textId="612A7F5E" w:rsidR="00544895" w:rsidRPr="00F8700E" w:rsidRDefault="00544895" w:rsidP="00544895">
      <w:pPr>
        <w:ind w:firstLine="0"/>
        <w:rPr>
          <w:rFonts w:cs="Times New Roman"/>
          <w:szCs w:val="24"/>
        </w:rPr>
      </w:pPr>
    </w:p>
    <w:p w14:paraId="3665281E" w14:textId="61C0E11C" w:rsidR="00847562" w:rsidRPr="00F8700E" w:rsidRDefault="00847562" w:rsidP="00544895">
      <w:pPr>
        <w:ind w:firstLine="0"/>
        <w:rPr>
          <w:rFonts w:cs="Times New Roman"/>
          <w:szCs w:val="24"/>
        </w:rPr>
      </w:pPr>
    </w:p>
    <w:p w14:paraId="3F88E3B0" w14:textId="01939BBA" w:rsidR="00847562" w:rsidRPr="00F8700E" w:rsidRDefault="00847562" w:rsidP="00544895">
      <w:pPr>
        <w:ind w:firstLine="0"/>
        <w:rPr>
          <w:rFonts w:cs="Times New Roman"/>
          <w:szCs w:val="24"/>
        </w:rPr>
      </w:pPr>
    </w:p>
    <w:p w14:paraId="16C9D84F" w14:textId="587C08D8" w:rsidR="00847562" w:rsidRPr="00F8700E" w:rsidRDefault="00847562" w:rsidP="00544895">
      <w:pPr>
        <w:ind w:firstLine="0"/>
        <w:rPr>
          <w:rFonts w:cs="Times New Roman"/>
          <w:szCs w:val="24"/>
        </w:rPr>
      </w:pPr>
    </w:p>
    <w:p w14:paraId="296C2A03" w14:textId="359487A9" w:rsidR="00847562" w:rsidRPr="00F8700E" w:rsidRDefault="00847562" w:rsidP="00544895">
      <w:pPr>
        <w:ind w:firstLine="0"/>
        <w:rPr>
          <w:rFonts w:cs="Times New Roman"/>
          <w:szCs w:val="24"/>
        </w:rPr>
      </w:pPr>
    </w:p>
    <w:p w14:paraId="1E253EAE" w14:textId="15E25C59" w:rsidR="00847562" w:rsidRPr="00F8700E" w:rsidRDefault="00847562" w:rsidP="00544895">
      <w:pPr>
        <w:ind w:firstLine="0"/>
        <w:rPr>
          <w:rFonts w:cs="Times New Roman"/>
          <w:szCs w:val="24"/>
        </w:rPr>
      </w:pPr>
    </w:p>
    <w:p w14:paraId="27FD9295" w14:textId="45ED2636" w:rsidR="00847562" w:rsidRPr="00F8700E" w:rsidRDefault="00847562" w:rsidP="00544895">
      <w:pPr>
        <w:ind w:firstLine="0"/>
        <w:rPr>
          <w:rFonts w:cs="Times New Roman"/>
          <w:szCs w:val="24"/>
        </w:rPr>
      </w:pPr>
    </w:p>
    <w:p w14:paraId="35DFB56B" w14:textId="623F8E81" w:rsidR="00847562" w:rsidRPr="00F8700E" w:rsidRDefault="00847562" w:rsidP="00544895">
      <w:pPr>
        <w:ind w:firstLine="0"/>
        <w:rPr>
          <w:rFonts w:cs="Times New Roman"/>
          <w:szCs w:val="24"/>
        </w:rPr>
      </w:pPr>
    </w:p>
    <w:p w14:paraId="3B4AD364" w14:textId="0C8EEFB5" w:rsidR="00847562" w:rsidRPr="00F8700E" w:rsidRDefault="00847562" w:rsidP="00544895">
      <w:pPr>
        <w:ind w:firstLine="0"/>
        <w:rPr>
          <w:rFonts w:cs="Times New Roman"/>
          <w:szCs w:val="24"/>
        </w:rPr>
      </w:pPr>
    </w:p>
    <w:p w14:paraId="628EA361" w14:textId="33F110CB" w:rsidR="00847562" w:rsidRPr="00F8700E" w:rsidRDefault="00847562" w:rsidP="00847562">
      <w:pPr>
        <w:pStyle w:val="Heading2"/>
        <w:rPr>
          <w:rFonts w:cs="Times New Roman"/>
          <w:szCs w:val="24"/>
        </w:rPr>
      </w:pPr>
      <w:r w:rsidRPr="00F8700E">
        <w:rPr>
          <w:rFonts w:cs="Times New Roman"/>
          <w:szCs w:val="24"/>
        </w:rPr>
        <w:lastRenderedPageBreak/>
        <w:t>Appendix D:</w:t>
      </w:r>
    </w:p>
    <w:tbl>
      <w:tblPr>
        <w:tblStyle w:val="TableGrid"/>
        <w:tblpPr w:leftFromText="180" w:rightFromText="180" w:vertAnchor="page" w:horzAnchor="page" w:tblpX="730" w:tblpY="2345"/>
        <w:tblW w:w="5000" w:type="pct"/>
        <w:tblLook w:val="04A0" w:firstRow="1" w:lastRow="0" w:firstColumn="1" w:lastColumn="0" w:noHBand="0" w:noVBand="1"/>
      </w:tblPr>
      <w:tblGrid>
        <w:gridCol w:w="1870"/>
        <w:gridCol w:w="588"/>
        <w:gridCol w:w="1588"/>
        <w:gridCol w:w="2626"/>
        <w:gridCol w:w="2344"/>
      </w:tblGrid>
      <w:tr w:rsidR="00847562" w:rsidRPr="00F8700E" w14:paraId="31409381" w14:textId="77777777" w:rsidTr="00F60D59">
        <w:tc>
          <w:tcPr>
            <w:tcW w:w="3512" w:type="pct"/>
            <w:gridSpan w:val="4"/>
            <w:shd w:val="clear" w:color="auto" w:fill="D9D9D9" w:themeFill="background1" w:themeFillShade="D9"/>
          </w:tcPr>
          <w:p w14:paraId="6F3F8396" w14:textId="77777777" w:rsidR="00847562" w:rsidRPr="00F8700E" w:rsidRDefault="00847562" w:rsidP="00F60D59">
            <w:pPr>
              <w:rPr>
                <w:rFonts w:cs="Times New Roman"/>
                <w:b/>
                <w:szCs w:val="24"/>
              </w:rPr>
            </w:pPr>
            <w:r w:rsidRPr="00F8700E">
              <w:rPr>
                <w:rFonts w:cs="Times New Roman"/>
                <w:b/>
                <w:szCs w:val="24"/>
              </w:rPr>
              <w:t>Risk of Bias: Experimental design</w:t>
            </w:r>
          </w:p>
        </w:tc>
        <w:tc>
          <w:tcPr>
            <w:tcW w:w="1488" w:type="pct"/>
            <w:shd w:val="clear" w:color="auto" w:fill="D9D9D9" w:themeFill="background1" w:themeFillShade="D9"/>
          </w:tcPr>
          <w:p w14:paraId="72A7FA77" w14:textId="77777777" w:rsidR="00847562" w:rsidRPr="00F8700E" w:rsidRDefault="00847562" w:rsidP="00F60D59">
            <w:pPr>
              <w:rPr>
                <w:rFonts w:cs="Times New Roman"/>
                <w:b/>
                <w:szCs w:val="24"/>
              </w:rPr>
            </w:pPr>
            <w:r w:rsidRPr="00F8700E">
              <w:rPr>
                <w:rFonts w:cs="Times New Roman"/>
                <w:b/>
                <w:szCs w:val="24"/>
              </w:rPr>
              <w:t>Risk of Bias Rating</w:t>
            </w:r>
          </w:p>
        </w:tc>
      </w:tr>
      <w:tr w:rsidR="00847562" w:rsidRPr="00F8700E" w14:paraId="53343D1F" w14:textId="77777777" w:rsidTr="00F60D59">
        <w:tc>
          <w:tcPr>
            <w:tcW w:w="833" w:type="pct"/>
            <w:vMerge w:val="restart"/>
            <w:shd w:val="clear" w:color="auto" w:fill="D9D9D9" w:themeFill="background1" w:themeFillShade="D9"/>
          </w:tcPr>
          <w:p w14:paraId="15678179" w14:textId="77777777" w:rsidR="00847562" w:rsidRPr="00F8700E" w:rsidRDefault="00847562" w:rsidP="00F60D59">
            <w:pPr>
              <w:rPr>
                <w:rFonts w:cs="Times New Roman"/>
                <w:b/>
                <w:szCs w:val="24"/>
              </w:rPr>
            </w:pPr>
            <w:r w:rsidRPr="00F8700E">
              <w:rPr>
                <w:rFonts w:cs="Times New Roman"/>
                <w:b/>
                <w:szCs w:val="24"/>
              </w:rPr>
              <w:t>Selection (circle one rating per numbered item)</w:t>
            </w:r>
          </w:p>
          <w:p w14:paraId="3EDECEFB" w14:textId="77777777" w:rsidR="00847562" w:rsidRPr="00F8700E" w:rsidRDefault="00847562" w:rsidP="00F60D59">
            <w:pPr>
              <w:rPr>
                <w:rFonts w:cs="Times New Roman"/>
                <w:b/>
                <w:szCs w:val="24"/>
              </w:rPr>
            </w:pPr>
          </w:p>
        </w:tc>
        <w:tc>
          <w:tcPr>
            <w:tcW w:w="1034" w:type="pct"/>
            <w:gridSpan w:val="2"/>
            <w:vMerge w:val="restart"/>
            <w:shd w:val="clear" w:color="auto" w:fill="D9D9D9" w:themeFill="background1" w:themeFillShade="D9"/>
          </w:tcPr>
          <w:p w14:paraId="04B74CBA" w14:textId="77777777" w:rsidR="00847562" w:rsidRPr="00F8700E" w:rsidRDefault="00847562" w:rsidP="00F60D59">
            <w:pPr>
              <w:rPr>
                <w:rFonts w:cs="Times New Roman"/>
                <w:b/>
                <w:szCs w:val="24"/>
              </w:rPr>
            </w:pPr>
            <w:r w:rsidRPr="00F8700E">
              <w:rPr>
                <w:rFonts w:cs="Times New Roman"/>
                <w:b/>
                <w:szCs w:val="24"/>
              </w:rPr>
              <w:t>1) Representativeness of the sample:</w:t>
            </w:r>
          </w:p>
        </w:tc>
        <w:tc>
          <w:tcPr>
            <w:tcW w:w="1645" w:type="pct"/>
            <w:shd w:val="clear" w:color="auto" w:fill="F2F2F2" w:themeFill="background1" w:themeFillShade="F2"/>
          </w:tcPr>
          <w:p w14:paraId="0707315F"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 xml:space="preserve">a) truly representative of the average in the target population  </w:t>
            </w:r>
          </w:p>
          <w:p w14:paraId="39FDCD06"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(all subjects or random sampling)</w:t>
            </w:r>
          </w:p>
        </w:tc>
        <w:tc>
          <w:tcPr>
            <w:tcW w:w="1488" w:type="pct"/>
          </w:tcPr>
          <w:p w14:paraId="58AF2BE8" w14:textId="77777777" w:rsidR="00847562" w:rsidRPr="00F8700E" w:rsidRDefault="00847562" w:rsidP="00F60D59">
            <w:pPr>
              <w:jc w:val="center"/>
              <w:rPr>
                <w:rFonts w:cs="Times New Roman"/>
                <w:szCs w:val="24"/>
              </w:rPr>
            </w:pPr>
            <w:r w:rsidRPr="00F8700E">
              <w:rPr>
                <w:rFonts w:cs="Times New Roman"/>
                <w:szCs w:val="24"/>
              </w:rPr>
              <w:t>3</w:t>
            </w:r>
          </w:p>
        </w:tc>
      </w:tr>
      <w:tr w:rsidR="00847562" w:rsidRPr="00F8700E" w14:paraId="2BAD4EB5" w14:textId="77777777" w:rsidTr="00F60D59">
        <w:tc>
          <w:tcPr>
            <w:tcW w:w="833" w:type="pct"/>
            <w:vMerge/>
          </w:tcPr>
          <w:p w14:paraId="16199FF0" w14:textId="77777777" w:rsidR="00847562" w:rsidRPr="00F8700E" w:rsidRDefault="00847562" w:rsidP="00F60D59">
            <w:pPr>
              <w:rPr>
                <w:rFonts w:cs="Times New Roman"/>
                <w:szCs w:val="24"/>
              </w:rPr>
            </w:pPr>
          </w:p>
        </w:tc>
        <w:tc>
          <w:tcPr>
            <w:tcW w:w="1034" w:type="pct"/>
            <w:gridSpan w:val="2"/>
            <w:vMerge/>
          </w:tcPr>
          <w:p w14:paraId="70196D36"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1A7FA535"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b) Somewhat representative of the average in the target population</w:t>
            </w:r>
          </w:p>
        </w:tc>
        <w:tc>
          <w:tcPr>
            <w:tcW w:w="1488" w:type="pct"/>
          </w:tcPr>
          <w:p w14:paraId="2DF1AE02" w14:textId="77777777" w:rsidR="00847562" w:rsidRPr="00F8700E" w:rsidRDefault="00847562" w:rsidP="00F60D59">
            <w:pPr>
              <w:jc w:val="center"/>
              <w:rPr>
                <w:rFonts w:cs="Times New Roman"/>
                <w:szCs w:val="24"/>
              </w:rPr>
            </w:pPr>
            <w:r w:rsidRPr="00F8700E">
              <w:rPr>
                <w:rFonts w:cs="Times New Roman"/>
                <w:szCs w:val="24"/>
              </w:rPr>
              <w:t>2</w:t>
            </w:r>
          </w:p>
        </w:tc>
      </w:tr>
      <w:tr w:rsidR="00847562" w:rsidRPr="00F8700E" w14:paraId="7C4D05D4" w14:textId="77777777" w:rsidTr="00F60D59">
        <w:tc>
          <w:tcPr>
            <w:tcW w:w="833" w:type="pct"/>
            <w:vMerge/>
          </w:tcPr>
          <w:p w14:paraId="32B13046" w14:textId="77777777" w:rsidR="00847562" w:rsidRPr="00F8700E" w:rsidRDefault="00847562" w:rsidP="00F60D59">
            <w:pPr>
              <w:rPr>
                <w:rFonts w:cs="Times New Roman"/>
                <w:szCs w:val="24"/>
              </w:rPr>
            </w:pPr>
          </w:p>
        </w:tc>
        <w:tc>
          <w:tcPr>
            <w:tcW w:w="1034" w:type="pct"/>
            <w:gridSpan w:val="2"/>
            <w:vMerge/>
          </w:tcPr>
          <w:p w14:paraId="5295C1F3"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563E5CEB"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c) selected group of users</w:t>
            </w:r>
          </w:p>
          <w:p w14:paraId="317F94D0" w14:textId="77777777" w:rsidR="00847562" w:rsidRPr="00F8700E" w:rsidRDefault="00847562" w:rsidP="00F60D59">
            <w:pPr>
              <w:rPr>
                <w:rFonts w:eastAsia="Times New Roman" w:cs="Times New Roman"/>
                <w:color w:val="000000"/>
                <w:szCs w:val="24"/>
              </w:rPr>
            </w:pPr>
          </w:p>
        </w:tc>
        <w:tc>
          <w:tcPr>
            <w:tcW w:w="1488" w:type="pct"/>
          </w:tcPr>
          <w:p w14:paraId="067CC98E" w14:textId="77777777" w:rsidR="00847562" w:rsidRPr="00F8700E" w:rsidRDefault="00847562" w:rsidP="00F60D59">
            <w:pPr>
              <w:jc w:val="center"/>
              <w:rPr>
                <w:rFonts w:cs="Times New Roman"/>
                <w:szCs w:val="24"/>
              </w:rPr>
            </w:pPr>
            <w:r w:rsidRPr="00F8700E">
              <w:rPr>
                <w:rFonts w:cs="Times New Roman"/>
                <w:szCs w:val="24"/>
              </w:rPr>
              <w:t>1</w:t>
            </w:r>
          </w:p>
        </w:tc>
      </w:tr>
      <w:tr w:rsidR="00847562" w:rsidRPr="00F8700E" w14:paraId="3393AD12" w14:textId="77777777" w:rsidTr="00F60D59">
        <w:trPr>
          <w:trHeight w:val="443"/>
        </w:trPr>
        <w:tc>
          <w:tcPr>
            <w:tcW w:w="833" w:type="pct"/>
            <w:vMerge/>
          </w:tcPr>
          <w:p w14:paraId="31E58D87" w14:textId="77777777" w:rsidR="00847562" w:rsidRPr="00F8700E" w:rsidRDefault="00847562" w:rsidP="00F60D59">
            <w:pPr>
              <w:rPr>
                <w:rFonts w:cs="Times New Roman"/>
                <w:szCs w:val="24"/>
              </w:rPr>
            </w:pPr>
          </w:p>
        </w:tc>
        <w:tc>
          <w:tcPr>
            <w:tcW w:w="1034" w:type="pct"/>
            <w:gridSpan w:val="2"/>
            <w:vMerge/>
          </w:tcPr>
          <w:p w14:paraId="4E734317"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36E1BB66"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d) No description of the sampling strategy</w:t>
            </w:r>
          </w:p>
          <w:p w14:paraId="0CDEFD11" w14:textId="77777777" w:rsidR="00847562" w:rsidRPr="00F8700E" w:rsidRDefault="00847562" w:rsidP="00F60D59">
            <w:pPr>
              <w:rPr>
                <w:rFonts w:eastAsia="Times New Roman" w:cs="Times New Roman"/>
                <w:color w:val="000000"/>
                <w:szCs w:val="24"/>
              </w:rPr>
            </w:pPr>
          </w:p>
        </w:tc>
        <w:tc>
          <w:tcPr>
            <w:tcW w:w="1488" w:type="pct"/>
          </w:tcPr>
          <w:p w14:paraId="619F33D0" w14:textId="77777777" w:rsidR="00847562" w:rsidRPr="00F8700E" w:rsidRDefault="00847562" w:rsidP="00F60D59">
            <w:pPr>
              <w:jc w:val="center"/>
              <w:rPr>
                <w:rFonts w:cs="Times New Roman"/>
                <w:szCs w:val="24"/>
              </w:rPr>
            </w:pPr>
            <w:r w:rsidRPr="00F8700E">
              <w:rPr>
                <w:rFonts w:cs="Times New Roman"/>
                <w:szCs w:val="24"/>
              </w:rPr>
              <w:t>0</w:t>
            </w:r>
          </w:p>
        </w:tc>
      </w:tr>
      <w:tr w:rsidR="00847562" w:rsidRPr="00F8700E" w14:paraId="3C29B1A6" w14:textId="77777777" w:rsidTr="00F60D59">
        <w:tc>
          <w:tcPr>
            <w:tcW w:w="833" w:type="pct"/>
            <w:vMerge/>
          </w:tcPr>
          <w:p w14:paraId="436364B4" w14:textId="77777777" w:rsidR="00847562" w:rsidRPr="00F8700E" w:rsidRDefault="00847562" w:rsidP="00F60D59">
            <w:pPr>
              <w:rPr>
                <w:rFonts w:cs="Times New Roman"/>
                <w:szCs w:val="24"/>
              </w:rPr>
            </w:pPr>
          </w:p>
        </w:tc>
        <w:tc>
          <w:tcPr>
            <w:tcW w:w="1034" w:type="pct"/>
            <w:gridSpan w:val="2"/>
            <w:vMerge w:val="restart"/>
            <w:shd w:val="clear" w:color="auto" w:fill="D9D9D9" w:themeFill="background1" w:themeFillShade="D9"/>
          </w:tcPr>
          <w:p w14:paraId="571B2D13" w14:textId="77777777" w:rsidR="00847562" w:rsidRPr="00F8700E" w:rsidRDefault="00847562" w:rsidP="00F60D59">
            <w:pPr>
              <w:rPr>
                <w:rFonts w:cs="Times New Roman"/>
                <w:b/>
                <w:szCs w:val="24"/>
              </w:rPr>
            </w:pPr>
            <w:r w:rsidRPr="00F8700E">
              <w:rPr>
                <w:rFonts w:cs="Times New Roman"/>
                <w:b/>
                <w:szCs w:val="24"/>
              </w:rPr>
              <w:t>2) Sample size:</w:t>
            </w:r>
          </w:p>
        </w:tc>
        <w:tc>
          <w:tcPr>
            <w:tcW w:w="1645" w:type="pct"/>
            <w:shd w:val="clear" w:color="auto" w:fill="F2F2F2" w:themeFill="background1" w:themeFillShade="F2"/>
          </w:tcPr>
          <w:p w14:paraId="489D0A05"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 xml:space="preserve">a) Justified (i.e., author explicitly states reasoning behind reported sample size) </w:t>
            </w:r>
          </w:p>
          <w:p w14:paraId="4B962CAB" w14:textId="77777777" w:rsidR="00847562" w:rsidRPr="00F8700E" w:rsidRDefault="00847562" w:rsidP="00F60D59">
            <w:pPr>
              <w:rPr>
                <w:rFonts w:cs="Times New Roman"/>
                <w:szCs w:val="24"/>
              </w:rPr>
            </w:pPr>
          </w:p>
        </w:tc>
        <w:tc>
          <w:tcPr>
            <w:tcW w:w="1488" w:type="pct"/>
          </w:tcPr>
          <w:p w14:paraId="5B3C8791" w14:textId="77777777" w:rsidR="00847562" w:rsidRPr="00F8700E" w:rsidRDefault="00847562" w:rsidP="00F60D59">
            <w:pPr>
              <w:jc w:val="center"/>
              <w:rPr>
                <w:rFonts w:cs="Times New Roman"/>
                <w:szCs w:val="24"/>
              </w:rPr>
            </w:pPr>
            <w:r w:rsidRPr="00F8700E">
              <w:rPr>
                <w:rFonts w:cs="Times New Roman"/>
                <w:szCs w:val="24"/>
              </w:rPr>
              <w:t>1</w:t>
            </w:r>
          </w:p>
        </w:tc>
      </w:tr>
      <w:tr w:rsidR="00847562" w:rsidRPr="00F8700E" w14:paraId="46B08184" w14:textId="77777777" w:rsidTr="00F60D59">
        <w:tc>
          <w:tcPr>
            <w:tcW w:w="833" w:type="pct"/>
            <w:vMerge/>
          </w:tcPr>
          <w:p w14:paraId="2690FD54" w14:textId="77777777" w:rsidR="00847562" w:rsidRPr="00F8700E" w:rsidRDefault="00847562" w:rsidP="00F60D59">
            <w:pPr>
              <w:rPr>
                <w:rFonts w:cs="Times New Roman"/>
                <w:szCs w:val="24"/>
              </w:rPr>
            </w:pPr>
          </w:p>
        </w:tc>
        <w:tc>
          <w:tcPr>
            <w:tcW w:w="1034" w:type="pct"/>
            <w:gridSpan w:val="2"/>
            <w:vMerge/>
          </w:tcPr>
          <w:p w14:paraId="2353590F"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4F8C4A3F"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b) Not justified</w:t>
            </w:r>
          </w:p>
          <w:p w14:paraId="54093CC2" w14:textId="77777777" w:rsidR="00847562" w:rsidRPr="00F8700E" w:rsidRDefault="00847562" w:rsidP="00F60D59">
            <w:pPr>
              <w:rPr>
                <w:rFonts w:eastAsia="Times New Roman" w:cs="Times New Roman"/>
                <w:color w:val="000000"/>
                <w:szCs w:val="24"/>
              </w:rPr>
            </w:pPr>
          </w:p>
        </w:tc>
        <w:tc>
          <w:tcPr>
            <w:tcW w:w="1488" w:type="pct"/>
          </w:tcPr>
          <w:p w14:paraId="016CD192" w14:textId="77777777" w:rsidR="00847562" w:rsidRPr="00F8700E" w:rsidRDefault="00847562" w:rsidP="00F60D59">
            <w:pPr>
              <w:jc w:val="center"/>
              <w:rPr>
                <w:rFonts w:cs="Times New Roman"/>
                <w:szCs w:val="24"/>
              </w:rPr>
            </w:pPr>
            <w:r w:rsidRPr="00F8700E">
              <w:rPr>
                <w:rFonts w:cs="Times New Roman"/>
                <w:szCs w:val="24"/>
              </w:rPr>
              <w:t>0</w:t>
            </w:r>
          </w:p>
        </w:tc>
      </w:tr>
      <w:tr w:rsidR="00847562" w:rsidRPr="00F8700E" w14:paraId="729845FF" w14:textId="77777777" w:rsidTr="00F60D59">
        <w:tc>
          <w:tcPr>
            <w:tcW w:w="833" w:type="pct"/>
            <w:vMerge/>
          </w:tcPr>
          <w:p w14:paraId="7C65769F" w14:textId="77777777" w:rsidR="00847562" w:rsidRPr="00F8700E" w:rsidRDefault="00847562" w:rsidP="00F60D59">
            <w:pPr>
              <w:rPr>
                <w:rFonts w:cs="Times New Roman"/>
                <w:szCs w:val="24"/>
              </w:rPr>
            </w:pPr>
          </w:p>
        </w:tc>
        <w:tc>
          <w:tcPr>
            <w:tcW w:w="1034" w:type="pct"/>
            <w:gridSpan w:val="2"/>
            <w:vMerge w:val="restart"/>
            <w:shd w:val="clear" w:color="auto" w:fill="D9D9D9" w:themeFill="background1" w:themeFillShade="D9"/>
          </w:tcPr>
          <w:p w14:paraId="5B84BCFA" w14:textId="77777777" w:rsidR="00847562" w:rsidRPr="00F8700E" w:rsidRDefault="00847562" w:rsidP="00F60D59">
            <w:pPr>
              <w:rPr>
                <w:rFonts w:cs="Times New Roman"/>
                <w:b/>
                <w:szCs w:val="24"/>
              </w:rPr>
            </w:pPr>
            <w:r w:rsidRPr="00F8700E">
              <w:rPr>
                <w:rFonts w:cs="Times New Roman"/>
                <w:b/>
                <w:szCs w:val="24"/>
              </w:rPr>
              <w:t>3) Sample quality:</w:t>
            </w:r>
          </w:p>
          <w:p w14:paraId="0E52AF8B" w14:textId="77777777" w:rsidR="00847562" w:rsidRPr="00F8700E" w:rsidRDefault="00847562" w:rsidP="00F60D59">
            <w:pPr>
              <w:jc w:val="center"/>
              <w:rPr>
                <w:rFonts w:cs="Times New Roman"/>
                <w:b/>
                <w:szCs w:val="24"/>
              </w:rPr>
            </w:pPr>
          </w:p>
        </w:tc>
        <w:tc>
          <w:tcPr>
            <w:tcW w:w="1645" w:type="pct"/>
            <w:shd w:val="clear" w:color="auto" w:fill="F2F2F2" w:themeFill="background1" w:themeFillShade="F2"/>
          </w:tcPr>
          <w:p w14:paraId="1525307B"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t>a) Researchers identify potential confounds and control appropriately</w:t>
            </w:r>
          </w:p>
        </w:tc>
        <w:tc>
          <w:tcPr>
            <w:tcW w:w="1488" w:type="pct"/>
          </w:tcPr>
          <w:p w14:paraId="4EC18F03" w14:textId="77777777" w:rsidR="00847562" w:rsidRPr="00F8700E" w:rsidRDefault="00847562" w:rsidP="00F60D59">
            <w:pPr>
              <w:jc w:val="center"/>
              <w:rPr>
                <w:rFonts w:cs="Times New Roman"/>
                <w:szCs w:val="24"/>
              </w:rPr>
            </w:pPr>
            <w:r w:rsidRPr="00F8700E">
              <w:rPr>
                <w:rFonts w:cs="Times New Roman"/>
                <w:szCs w:val="24"/>
              </w:rPr>
              <w:t>3</w:t>
            </w:r>
          </w:p>
        </w:tc>
      </w:tr>
      <w:tr w:rsidR="00847562" w:rsidRPr="00F8700E" w14:paraId="10B327B6" w14:textId="77777777" w:rsidTr="00F60D59">
        <w:tc>
          <w:tcPr>
            <w:tcW w:w="833" w:type="pct"/>
            <w:vMerge/>
          </w:tcPr>
          <w:p w14:paraId="56C234A8" w14:textId="77777777" w:rsidR="00847562" w:rsidRPr="00F8700E" w:rsidRDefault="00847562" w:rsidP="00F60D59">
            <w:pPr>
              <w:rPr>
                <w:rFonts w:cs="Times New Roman"/>
                <w:szCs w:val="24"/>
              </w:rPr>
            </w:pPr>
          </w:p>
        </w:tc>
        <w:tc>
          <w:tcPr>
            <w:tcW w:w="1034" w:type="pct"/>
            <w:gridSpan w:val="2"/>
            <w:vMerge/>
          </w:tcPr>
          <w:p w14:paraId="736AF5F5"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696AAB8B" w14:textId="77777777" w:rsidR="00847562" w:rsidRPr="00F8700E" w:rsidRDefault="00847562" w:rsidP="00F60D59">
            <w:pPr>
              <w:rPr>
                <w:rFonts w:cs="Times New Roman"/>
                <w:szCs w:val="24"/>
              </w:rPr>
            </w:pPr>
            <w:r w:rsidRPr="00F8700E">
              <w:rPr>
                <w:rFonts w:cs="Times New Roman"/>
                <w:szCs w:val="24"/>
              </w:rPr>
              <w:t>b) Researchers identify potential confounds and do not control appropriately</w:t>
            </w:r>
          </w:p>
        </w:tc>
        <w:tc>
          <w:tcPr>
            <w:tcW w:w="1488" w:type="pct"/>
          </w:tcPr>
          <w:p w14:paraId="3C43D0EF" w14:textId="77777777" w:rsidR="00847562" w:rsidRPr="00F8700E" w:rsidRDefault="00847562" w:rsidP="00F60D59">
            <w:pPr>
              <w:jc w:val="center"/>
              <w:rPr>
                <w:rFonts w:cs="Times New Roman"/>
                <w:szCs w:val="24"/>
              </w:rPr>
            </w:pPr>
            <w:r w:rsidRPr="00F8700E">
              <w:rPr>
                <w:rFonts w:cs="Times New Roman"/>
                <w:szCs w:val="24"/>
              </w:rPr>
              <w:t>2</w:t>
            </w:r>
          </w:p>
        </w:tc>
      </w:tr>
      <w:tr w:rsidR="00847562" w:rsidRPr="00F8700E" w14:paraId="6ED9FD0E" w14:textId="77777777" w:rsidTr="00F60D59">
        <w:trPr>
          <w:trHeight w:val="693"/>
        </w:trPr>
        <w:tc>
          <w:tcPr>
            <w:tcW w:w="833" w:type="pct"/>
            <w:vMerge/>
          </w:tcPr>
          <w:p w14:paraId="44071E26" w14:textId="77777777" w:rsidR="00847562" w:rsidRPr="00F8700E" w:rsidRDefault="00847562" w:rsidP="00F60D59">
            <w:pPr>
              <w:rPr>
                <w:rFonts w:cs="Times New Roman"/>
                <w:szCs w:val="24"/>
              </w:rPr>
            </w:pPr>
          </w:p>
        </w:tc>
        <w:tc>
          <w:tcPr>
            <w:tcW w:w="1034" w:type="pct"/>
            <w:gridSpan w:val="2"/>
            <w:vMerge/>
          </w:tcPr>
          <w:p w14:paraId="601C7803"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3F34ED9F" w14:textId="77777777" w:rsidR="00847562" w:rsidRPr="00F8700E" w:rsidRDefault="00847562" w:rsidP="00F60D59">
            <w:pPr>
              <w:rPr>
                <w:rFonts w:cs="Times New Roman"/>
                <w:szCs w:val="24"/>
              </w:rPr>
            </w:pPr>
            <w:r w:rsidRPr="00F8700E">
              <w:rPr>
                <w:rFonts w:cs="Times New Roman"/>
                <w:szCs w:val="24"/>
              </w:rPr>
              <w:t>c)  The study controlled for any additional factor (attention, age, sex, SES, neurological or medical problem)</w:t>
            </w:r>
          </w:p>
        </w:tc>
        <w:tc>
          <w:tcPr>
            <w:tcW w:w="1488" w:type="pct"/>
          </w:tcPr>
          <w:p w14:paraId="6C8CC121" w14:textId="77777777" w:rsidR="00847562" w:rsidRPr="00F8700E" w:rsidRDefault="00847562" w:rsidP="00F60D59">
            <w:pPr>
              <w:jc w:val="center"/>
              <w:rPr>
                <w:rFonts w:cs="Times New Roman"/>
                <w:szCs w:val="24"/>
              </w:rPr>
            </w:pPr>
            <w:r w:rsidRPr="00F8700E">
              <w:rPr>
                <w:rFonts w:cs="Times New Roman"/>
                <w:szCs w:val="24"/>
              </w:rPr>
              <w:t>1</w:t>
            </w:r>
          </w:p>
        </w:tc>
      </w:tr>
      <w:tr w:rsidR="00847562" w:rsidRPr="00F8700E" w14:paraId="7DD6483F" w14:textId="77777777" w:rsidTr="00F60D59">
        <w:tc>
          <w:tcPr>
            <w:tcW w:w="3512" w:type="pct"/>
            <w:gridSpan w:val="4"/>
            <w:shd w:val="clear" w:color="auto" w:fill="D9D9D9" w:themeFill="background1" w:themeFillShade="D9"/>
          </w:tcPr>
          <w:p w14:paraId="3BCDFBD8" w14:textId="77777777" w:rsidR="00847562" w:rsidRPr="00F8700E" w:rsidRDefault="00847562" w:rsidP="00F60D59">
            <w:pPr>
              <w:rPr>
                <w:rFonts w:eastAsia="Times New Roman" w:cs="Times New Roman"/>
                <w:b/>
                <w:color w:val="000000"/>
                <w:szCs w:val="24"/>
              </w:rPr>
            </w:pPr>
            <w:r w:rsidRPr="00F8700E">
              <w:rPr>
                <w:rFonts w:eastAsia="Times New Roman" w:cs="Times New Roman"/>
                <w:b/>
                <w:color w:val="000000"/>
                <w:szCs w:val="24"/>
              </w:rPr>
              <w:t>Risk of Bias: Perceptual Measures</w:t>
            </w:r>
          </w:p>
        </w:tc>
        <w:tc>
          <w:tcPr>
            <w:tcW w:w="1488" w:type="pct"/>
            <w:shd w:val="clear" w:color="auto" w:fill="D9D9D9" w:themeFill="background1" w:themeFillShade="D9"/>
          </w:tcPr>
          <w:p w14:paraId="68436DC0" w14:textId="77777777" w:rsidR="00847562" w:rsidRPr="00F8700E" w:rsidRDefault="00847562" w:rsidP="00F60D59">
            <w:pPr>
              <w:rPr>
                <w:rFonts w:cs="Times New Roman"/>
                <w:szCs w:val="24"/>
              </w:rPr>
            </w:pPr>
          </w:p>
        </w:tc>
      </w:tr>
      <w:tr w:rsidR="00847562" w:rsidRPr="00F8700E" w14:paraId="594A3AC6" w14:textId="77777777" w:rsidTr="00F60D59">
        <w:tc>
          <w:tcPr>
            <w:tcW w:w="833" w:type="pct"/>
            <w:vMerge w:val="restart"/>
            <w:shd w:val="clear" w:color="auto" w:fill="D9D9D9" w:themeFill="background1" w:themeFillShade="D9"/>
          </w:tcPr>
          <w:p w14:paraId="209E8F80" w14:textId="77777777" w:rsidR="00847562" w:rsidRPr="00F8700E" w:rsidRDefault="00847562" w:rsidP="00F60D59">
            <w:pPr>
              <w:rPr>
                <w:rFonts w:cs="Times New Roman"/>
                <w:b/>
                <w:szCs w:val="24"/>
              </w:rPr>
            </w:pPr>
            <w:r w:rsidRPr="00F8700E">
              <w:rPr>
                <w:rFonts w:cs="Times New Roman"/>
                <w:b/>
                <w:szCs w:val="24"/>
              </w:rPr>
              <w:t>Outcome (circle one rating per lettered item)</w:t>
            </w:r>
          </w:p>
        </w:tc>
        <w:tc>
          <w:tcPr>
            <w:tcW w:w="1034" w:type="pct"/>
            <w:gridSpan w:val="2"/>
            <w:vMerge w:val="restart"/>
            <w:shd w:val="clear" w:color="auto" w:fill="D9D9D9" w:themeFill="background1" w:themeFillShade="D9"/>
          </w:tcPr>
          <w:p w14:paraId="7DF3E9A7" w14:textId="77777777" w:rsidR="00847562" w:rsidRPr="00F8700E" w:rsidRDefault="00847562" w:rsidP="00F60D59">
            <w:pPr>
              <w:rPr>
                <w:rFonts w:cs="Times New Roman"/>
                <w:b/>
                <w:szCs w:val="24"/>
              </w:rPr>
            </w:pPr>
            <w:r w:rsidRPr="00F8700E">
              <w:rPr>
                <w:rFonts w:cs="Times New Roman"/>
                <w:b/>
                <w:szCs w:val="24"/>
              </w:rPr>
              <w:t>1) Assessment of the outcome (if multiple outcomes, complete "assessment of outcome" for each outcome measure)</w:t>
            </w:r>
          </w:p>
          <w:p w14:paraId="1157A8CD" w14:textId="77777777" w:rsidR="00847562" w:rsidRPr="00F8700E" w:rsidRDefault="00847562" w:rsidP="00F60D59">
            <w:pPr>
              <w:rPr>
                <w:rFonts w:cs="Times New Roman"/>
                <w:b/>
                <w:szCs w:val="24"/>
              </w:rPr>
            </w:pPr>
          </w:p>
        </w:tc>
        <w:tc>
          <w:tcPr>
            <w:tcW w:w="1645" w:type="pct"/>
            <w:shd w:val="clear" w:color="auto" w:fill="F2F2F2" w:themeFill="background1" w:themeFillShade="F2"/>
          </w:tcPr>
          <w:p w14:paraId="6AF38122" w14:textId="77777777" w:rsidR="00847562" w:rsidRPr="00F8700E" w:rsidRDefault="00847562" w:rsidP="00F60D59">
            <w:pPr>
              <w:rPr>
                <w:rFonts w:eastAsia="Times New Roman" w:cs="Times New Roman"/>
                <w:color w:val="000000"/>
                <w:szCs w:val="24"/>
              </w:rPr>
            </w:pPr>
            <w:r w:rsidRPr="00F8700E">
              <w:rPr>
                <w:rFonts w:eastAsia="Times New Roman" w:cs="Times New Roman"/>
                <w:color w:val="000000"/>
                <w:szCs w:val="24"/>
              </w:rPr>
              <w:lastRenderedPageBreak/>
              <w:t>a) Measure(s) are described appropriately in context of research question. (i.e., not described, somewhat described, well described)</w:t>
            </w:r>
          </w:p>
          <w:p w14:paraId="1AADEC31" w14:textId="77777777" w:rsidR="00847562" w:rsidRPr="00F8700E" w:rsidRDefault="00847562" w:rsidP="00F60D59">
            <w:pPr>
              <w:rPr>
                <w:rFonts w:eastAsia="Times New Roman" w:cs="Times New Roman"/>
                <w:color w:val="000000"/>
                <w:szCs w:val="24"/>
              </w:rPr>
            </w:pPr>
          </w:p>
        </w:tc>
        <w:tc>
          <w:tcPr>
            <w:tcW w:w="1488" w:type="pct"/>
          </w:tcPr>
          <w:p w14:paraId="1D4ACA93" w14:textId="77777777" w:rsidR="00847562" w:rsidRPr="00F8700E" w:rsidRDefault="00847562" w:rsidP="00F60D59">
            <w:pPr>
              <w:jc w:val="center"/>
              <w:rPr>
                <w:rFonts w:cs="Times New Roman"/>
                <w:szCs w:val="24"/>
              </w:rPr>
            </w:pPr>
            <w:r w:rsidRPr="00F8700E">
              <w:rPr>
                <w:rFonts w:cs="Times New Roman"/>
                <w:szCs w:val="24"/>
              </w:rPr>
              <w:t>0/1/2/3</w:t>
            </w:r>
          </w:p>
        </w:tc>
      </w:tr>
      <w:tr w:rsidR="00847562" w:rsidRPr="00F8700E" w14:paraId="0D8114ED" w14:textId="77777777" w:rsidTr="00F60D59">
        <w:tc>
          <w:tcPr>
            <w:tcW w:w="833" w:type="pct"/>
            <w:vMerge/>
          </w:tcPr>
          <w:p w14:paraId="0FBDA1D0" w14:textId="77777777" w:rsidR="00847562" w:rsidRPr="00F8700E" w:rsidRDefault="00847562" w:rsidP="00F60D59">
            <w:pPr>
              <w:rPr>
                <w:rFonts w:cs="Times New Roman"/>
                <w:szCs w:val="24"/>
              </w:rPr>
            </w:pPr>
          </w:p>
        </w:tc>
        <w:tc>
          <w:tcPr>
            <w:tcW w:w="1034" w:type="pct"/>
            <w:gridSpan w:val="2"/>
            <w:vMerge/>
          </w:tcPr>
          <w:p w14:paraId="78F560E8"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789394E5" w14:textId="77777777" w:rsidR="00847562" w:rsidRPr="00F8700E" w:rsidRDefault="00847562" w:rsidP="00F60D59">
            <w:pPr>
              <w:rPr>
                <w:rFonts w:cs="Times New Roman"/>
                <w:szCs w:val="24"/>
              </w:rPr>
            </w:pPr>
            <w:r w:rsidRPr="00F8700E">
              <w:rPr>
                <w:rFonts w:cs="Times New Roman"/>
                <w:szCs w:val="24"/>
              </w:rPr>
              <w:t>b) Researchers justify thresholds for perceptual ability (e.g., good listeners, bad listeners).</w:t>
            </w:r>
          </w:p>
        </w:tc>
        <w:tc>
          <w:tcPr>
            <w:tcW w:w="1488" w:type="pct"/>
          </w:tcPr>
          <w:p w14:paraId="50C415B1" w14:textId="77777777" w:rsidR="00847562" w:rsidRPr="00F8700E" w:rsidRDefault="00847562" w:rsidP="00F60D59">
            <w:pPr>
              <w:jc w:val="center"/>
              <w:rPr>
                <w:rFonts w:cs="Times New Roman"/>
                <w:szCs w:val="24"/>
              </w:rPr>
            </w:pPr>
            <w:r w:rsidRPr="00F8700E">
              <w:rPr>
                <w:rFonts w:cs="Times New Roman"/>
                <w:szCs w:val="24"/>
              </w:rPr>
              <w:t>0/1</w:t>
            </w:r>
          </w:p>
        </w:tc>
      </w:tr>
      <w:tr w:rsidR="00847562" w:rsidRPr="00F8700E" w14:paraId="030F74CE" w14:textId="77777777" w:rsidTr="00F60D59">
        <w:tc>
          <w:tcPr>
            <w:tcW w:w="833" w:type="pct"/>
            <w:vMerge/>
          </w:tcPr>
          <w:p w14:paraId="2C0C719C" w14:textId="77777777" w:rsidR="00847562" w:rsidRPr="00F8700E" w:rsidRDefault="00847562" w:rsidP="00F60D59">
            <w:pPr>
              <w:rPr>
                <w:rFonts w:cs="Times New Roman"/>
                <w:szCs w:val="24"/>
              </w:rPr>
            </w:pPr>
          </w:p>
        </w:tc>
        <w:tc>
          <w:tcPr>
            <w:tcW w:w="1034" w:type="pct"/>
            <w:gridSpan w:val="2"/>
            <w:vMerge w:val="restart"/>
            <w:shd w:val="clear" w:color="auto" w:fill="D9D9D9" w:themeFill="background1" w:themeFillShade="D9"/>
          </w:tcPr>
          <w:p w14:paraId="746F3946" w14:textId="77777777" w:rsidR="00847562" w:rsidRPr="00F8700E" w:rsidRDefault="00847562" w:rsidP="00F60D59">
            <w:pPr>
              <w:rPr>
                <w:rFonts w:cs="Times New Roman"/>
                <w:b/>
                <w:szCs w:val="24"/>
              </w:rPr>
            </w:pPr>
            <w:r w:rsidRPr="00F8700E">
              <w:rPr>
                <w:rFonts w:cs="Times New Roman"/>
                <w:b/>
                <w:szCs w:val="24"/>
              </w:rPr>
              <w:t>2) Statistical test</w:t>
            </w:r>
          </w:p>
          <w:p w14:paraId="69F516D5" w14:textId="77777777" w:rsidR="00847562" w:rsidRPr="00F8700E" w:rsidRDefault="00847562" w:rsidP="00F60D59">
            <w:pPr>
              <w:rPr>
                <w:rFonts w:cs="Times New Roman"/>
                <w:b/>
                <w:szCs w:val="24"/>
              </w:rPr>
            </w:pPr>
          </w:p>
          <w:p w14:paraId="7A79D280" w14:textId="77777777" w:rsidR="00847562" w:rsidRPr="00F8700E" w:rsidRDefault="00847562" w:rsidP="00F60D59">
            <w:pPr>
              <w:rPr>
                <w:rFonts w:cs="Times New Roman"/>
                <w:b/>
                <w:szCs w:val="24"/>
              </w:rPr>
            </w:pPr>
          </w:p>
        </w:tc>
        <w:tc>
          <w:tcPr>
            <w:tcW w:w="1645" w:type="pct"/>
            <w:shd w:val="clear" w:color="auto" w:fill="F2F2F2" w:themeFill="background1" w:themeFillShade="F2"/>
          </w:tcPr>
          <w:p w14:paraId="2E8D72A2" w14:textId="77777777" w:rsidR="00847562" w:rsidRPr="00F8700E" w:rsidRDefault="00847562" w:rsidP="00F60D59">
            <w:pPr>
              <w:rPr>
                <w:rFonts w:cs="Times New Roman"/>
                <w:szCs w:val="24"/>
              </w:rPr>
            </w:pPr>
            <w:r w:rsidRPr="00F8700E">
              <w:rPr>
                <w:rFonts w:cs="Times New Roman"/>
                <w:szCs w:val="24"/>
              </w:rPr>
              <w:t xml:space="preserve">a) Analysis of measure outcomes are reported accurately </w:t>
            </w:r>
          </w:p>
        </w:tc>
        <w:tc>
          <w:tcPr>
            <w:tcW w:w="1488" w:type="pct"/>
          </w:tcPr>
          <w:p w14:paraId="03738DB1" w14:textId="77777777" w:rsidR="00847562" w:rsidRPr="00F8700E" w:rsidRDefault="00847562" w:rsidP="00F60D59">
            <w:pPr>
              <w:jc w:val="center"/>
              <w:rPr>
                <w:rFonts w:cs="Times New Roman"/>
                <w:szCs w:val="24"/>
              </w:rPr>
            </w:pPr>
            <w:r w:rsidRPr="00F8700E">
              <w:rPr>
                <w:rFonts w:cs="Times New Roman"/>
                <w:szCs w:val="24"/>
              </w:rPr>
              <w:t>0/1</w:t>
            </w:r>
          </w:p>
        </w:tc>
      </w:tr>
      <w:tr w:rsidR="00847562" w:rsidRPr="00F8700E" w14:paraId="6F8A758C" w14:textId="77777777" w:rsidTr="00F60D59">
        <w:tc>
          <w:tcPr>
            <w:tcW w:w="833" w:type="pct"/>
            <w:vMerge/>
          </w:tcPr>
          <w:p w14:paraId="0300AA7A" w14:textId="77777777" w:rsidR="00847562" w:rsidRPr="00F8700E" w:rsidRDefault="00847562" w:rsidP="00F60D59">
            <w:pPr>
              <w:rPr>
                <w:rFonts w:cs="Times New Roman"/>
                <w:szCs w:val="24"/>
              </w:rPr>
            </w:pPr>
          </w:p>
        </w:tc>
        <w:tc>
          <w:tcPr>
            <w:tcW w:w="1034" w:type="pct"/>
            <w:gridSpan w:val="2"/>
            <w:vMerge/>
            <w:shd w:val="clear" w:color="auto" w:fill="D9D9D9" w:themeFill="background1" w:themeFillShade="D9"/>
          </w:tcPr>
          <w:p w14:paraId="4B98C12B" w14:textId="77777777" w:rsidR="00847562" w:rsidRPr="00F8700E" w:rsidRDefault="00847562" w:rsidP="00F60D59">
            <w:pPr>
              <w:rPr>
                <w:rFonts w:cs="Times New Roman"/>
                <w:b/>
                <w:szCs w:val="24"/>
              </w:rPr>
            </w:pPr>
          </w:p>
        </w:tc>
        <w:tc>
          <w:tcPr>
            <w:tcW w:w="1645" w:type="pct"/>
            <w:shd w:val="clear" w:color="auto" w:fill="F2F2F2" w:themeFill="background1" w:themeFillShade="F2"/>
          </w:tcPr>
          <w:p w14:paraId="3E377DF6" w14:textId="77777777" w:rsidR="00847562" w:rsidRPr="00F8700E" w:rsidRDefault="00847562" w:rsidP="00F60D59">
            <w:pPr>
              <w:rPr>
                <w:rFonts w:cs="Times New Roman"/>
                <w:szCs w:val="24"/>
              </w:rPr>
            </w:pPr>
            <w:r w:rsidRPr="00F8700E">
              <w:rPr>
                <w:rFonts w:cs="Times New Roman"/>
                <w:szCs w:val="24"/>
              </w:rPr>
              <w:t>b)  Statistical tests are appropriate for research question (i.e., inappropriate, somewhat appropriate, appropriate)</w:t>
            </w:r>
          </w:p>
        </w:tc>
        <w:tc>
          <w:tcPr>
            <w:tcW w:w="1488" w:type="pct"/>
          </w:tcPr>
          <w:p w14:paraId="71E8156A" w14:textId="77777777" w:rsidR="00847562" w:rsidRPr="00F8700E" w:rsidRDefault="00847562" w:rsidP="00F60D59">
            <w:pPr>
              <w:jc w:val="center"/>
              <w:rPr>
                <w:rFonts w:cs="Times New Roman"/>
                <w:szCs w:val="24"/>
              </w:rPr>
            </w:pPr>
            <w:r w:rsidRPr="00F8700E">
              <w:rPr>
                <w:rFonts w:cs="Times New Roman"/>
                <w:szCs w:val="24"/>
              </w:rPr>
              <w:t>0/1/2</w:t>
            </w:r>
          </w:p>
        </w:tc>
      </w:tr>
      <w:tr w:rsidR="00847562" w:rsidRPr="00F8700E" w14:paraId="3F027B7C" w14:textId="77777777" w:rsidTr="00F60D59">
        <w:tc>
          <w:tcPr>
            <w:tcW w:w="3512" w:type="pct"/>
            <w:gridSpan w:val="4"/>
            <w:shd w:val="clear" w:color="auto" w:fill="D9D9D9" w:themeFill="background1" w:themeFillShade="D9"/>
          </w:tcPr>
          <w:p w14:paraId="2DCC6762" w14:textId="77777777" w:rsidR="00847562" w:rsidRPr="00F8700E" w:rsidRDefault="00847562" w:rsidP="00F60D59">
            <w:pPr>
              <w:rPr>
                <w:rFonts w:cs="Times New Roman"/>
                <w:b/>
                <w:szCs w:val="24"/>
              </w:rPr>
            </w:pPr>
            <w:r w:rsidRPr="00F8700E">
              <w:rPr>
                <w:rFonts w:cs="Times New Roman"/>
                <w:b/>
                <w:szCs w:val="24"/>
              </w:rPr>
              <w:t>Risk of Bias: Reading Measures</w:t>
            </w:r>
          </w:p>
        </w:tc>
        <w:tc>
          <w:tcPr>
            <w:tcW w:w="1488" w:type="pct"/>
            <w:shd w:val="clear" w:color="auto" w:fill="D9D9D9" w:themeFill="background1" w:themeFillShade="D9"/>
          </w:tcPr>
          <w:p w14:paraId="15A6E742" w14:textId="77777777" w:rsidR="00847562" w:rsidRPr="00F8700E" w:rsidRDefault="00847562" w:rsidP="00F60D59">
            <w:pPr>
              <w:jc w:val="center"/>
              <w:rPr>
                <w:rFonts w:cs="Times New Roman"/>
                <w:b/>
                <w:szCs w:val="24"/>
              </w:rPr>
            </w:pPr>
          </w:p>
        </w:tc>
      </w:tr>
      <w:tr w:rsidR="00847562" w:rsidRPr="00F8700E" w14:paraId="5C2D9C18" w14:textId="77777777" w:rsidTr="00F60D59">
        <w:trPr>
          <w:trHeight w:val="567"/>
        </w:trPr>
        <w:tc>
          <w:tcPr>
            <w:tcW w:w="833" w:type="pct"/>
            <w:vMerge w:val="restart"/>
            <w:shd w:val="clear" w:color="auto" w:fill="D9D9D9" w:themeFill="background1" w:themeFillShade="D9"/>
          </w:tcPr>
          <w:p w14:paraId="5D4819D7" w14:textId="77777777" w:rsidR="00847562" w:rsidRPr="00F8700E" w:rsidRDefault="00847562" w:rsidP="00F60D59">
            <w:pPr>
              <w:rPr>
                <w:rFonts w:cs="Times New Roman"/>
                <w:b/>
                <w:szCs w:val="24"/>
              </w:rPr>
            </w:pPr>
            <w:r w:rsidRPr="00F8700E">
              <w:rPr>
                <w:rFonts w:cs="Times New Roman"/>
                <w:b/>
                <w:szCs w:val="24"/>
              </w:rPr>
              <w:t>Outcome (circle one rating per lettered item)</w:t>
            </w:r>
          </w:p>
        </w:tc>
        <w:tc>
          <w:tcPr>
            <w:tcW w:w="1034" w:type="pct"/>
            <w:gridSpan w:val="2"/>
            <w:vMerge w:val="restart"/>
            <w:shd w:val="clear" w:color="auto" w:fill="D9D9D9" w:themeFill="background1" w:themeFillShade="D9"/>
          </w:tcPr>
          <w:p w14:paraId="3214261F" w14:textId="77777777" w:rsidR="00847562" w:rsidRPr="00F8700E" w:rsidRDefault="00847562" w:rsidP="00F60D59">
            <w:pPr>
              <w:rPr>
                <w:rFonts w:cs="Times New Roman"/>
                <w:b/>
                <w:szCs w:val="24"/>
              </w:rPr>
            </w:pPr>
            <w:r w:rsidRPr="00F8700E">
              <w:rPr>
                <w:rFonts w:cs="Times New Roman"/>
                <w:b/>
                <w:szCs w:val="24"/>
              </w:rPr>
              <w:t>1) Assessment of the outcome (if multiple outcomes, complete "assessment of outcome" for each outcome measure)</w:t>
            </w:r>
          </w:p>
        </w:tc>
        <w:tc>
          <w:tcPr>
            <w:tcW w:w="1645" w:type="pct"/>
            <w:shd w:val="clear" w:color="auto" w:fill="F2F2F2" w:themeFill="background1" w:themeFillShade="F2"/>
          </w:tcPr>
          <w:p w14:paraId="4A074502" w14:textId="77777777" w:rsidR="00847562" w:rsidRPr="00F8700E" w:rsidRDefault="00847562" w:rsidP="00F60D59">
            <w:pPr>
              <w:rPr>
                <w:rFonts w:cs="Times New Roman"/>
                <w:szCs w:val="24"/>
              </w:rPr>
            </w:pPr>
            <w:r w:rsidRPr="00F8700E">
              <w:rPr>
                <w:rFonts w:eastAsia="Times New Roman" w:cs="Times New Roman"/>
                <w:color w:val="000000"/>
                <w:szCs w:val="24"/>
              </w:rPr>
              <w:t xml:space="preserve">a)  Measure(s) are described appropriately in context of research question. </w:t>
            </w:r>
          </w:p>
        </w:tc>
        <w:tc>
          <w:tcPr>
            <w:tcW w:w="1488" w:type="pct"/>
          </w:tcPr>
          <w:p w14:paraId="13EF3E16" w14:textId="77777777" w:rsidR="00847562" w:rsidRPr="00F8700E" w:rsidRDefault="00847562" w:rsidP="00F60D59">
            <w:pPr>
              <w:jc w:val="center"/>
              <w:rPr>
                <w:rFonts w:cs="Times New Roman"/>
                <w:szCs w:val="24"/>
              </w:rPr>
            </w:pPr>
            <w:r w:rsidRPr="00F8700E">
              <w:rPr>
                <w:rFonts w:cs="Times New Roman"/>
                <w:szCs w:val="24"/>
              </w:rPr>
              <w:t>0/1/2/3</w:t>
            </w:r>
          </w:p>
        </w:tc>
      </w:tr>
      <w:tr w:rsidR="00847562" w:rsidRPr="00F8700E" w14:paraId="52893F9C" w14:textId="77777777" w:rsidTr="00F60D59">
        <w:trPr>
          <w:trHeight w:val="371"/>
        </w:trPr>
        <w:tc>
          <w:tcPr>
            <w:tcW w:w="833" w:type="pct"/>
            <w:vMerge/>
          </w:tcPr>
          <w:p w14:paraId="5CCA3735" w14:textId="77777777" w:rsidR="00847562" w:rsidRPr="00F8700E" w:rsidRDefault="00847562" w:rsidP="00F60D59">
            <w:pPr>
              <w:rPr>
                <w:rFonts w:cs="Times New Roman"/>
                <w:szCs w:val="24"/>
              </w:rPr>
            </w:pPr>
          </w:p>
        </w:tc>
        <w:tc>
          <w:tcPr>
            <w:tcW w:w="1034" w:type="pct"/>
            <w:gridSpan w:val="2"/>
            <w:vMerge/>
          </w:tcPr>
          <w:p w14:paraId="54B4DB12" w14:textId="77777777" w:rsidR="00847562" w:rsidRPr="00F8700E" w:rsidRDefault="00847562" w:rsidP="00F60D59">
            <w:pPr>
              <w:rPr>
                <w:rFonts w:cs="Times New Roman"/>
                <w:szCs w:val="24"/>
              </w:rPr>
            </w:pPr>
          </w:p>
        </w:tc>
        <w:tc>
          <w:tcPr>
            <w:tcW w:w="1645" w:type="pct"/>
            <w:shd w:val="clear" w:color="auto" w:fill="F2F2F2" w:themeFill="background1" w:themeFillShade="F2"/>
          </w:tcPr>
          <w:p w14:paraId="3945342E" w14:textId="77777777" w:rsidR="00847562" w:rsidRPr="00F8700E" w:rsidRDefault="00847562" w:rsidP="00F60D59">
            <w:pPr>
              <w:rPr>
                <w:rFonts w:cs="Times New Roman"/>
                <w:szCs w:val="24"/>
              </w:rPr>
            </w:pPr>
            <w:r w:rsidRPr="00F8700E">
              <w:rPr>
                <w:rFonts w:cs="Times New Roman"/>
                <w:szCs w:val="24"/>
              </w:rPr>
              <w:t>b)  Researchers justify thresholds for reading ability (e.g., good listeners, bad listeners).</w:t>
            </w:r>
          </w:p>
          <w:p w14:paraId="2EEF9F1B" w14:textId="77777777" w:rsidR="00847562" w:rsidRPr="00F8700E" w:rsidRDefault="00847562" w:rsidP="00F60D59">
            <w:pPr>
              <w:rPr>
                <w:rFonts w:cs="Times New Roman"/>
                <w:szCs w:val="24"/>
              </w:rPr>
            </w:pPr>
          </w:p>
        </w:tc>
        <w:tc>
          <w:tcPr>
            <w:tcW w:w="1488" w:type="pct"/>
          </w:tcPr>
          <w:p w14:paraId="39B792D8" w14:textId="77777777" w:rsidR="00847562" w:rsidRPr="00F8700E" w:rsidRDefault="00847562" w:rsidP="00F60D59">
            <w:pPr>
              <w:jc w:val="center"/>
              <w:rPr>
                <w:rFonts w:cs="Times New Roman"/>
                <w:szCs w:val="24"/>
              </w:rPr>
            </w:pPr>
            <w:r w:rsidRPr="00F8700E">
              <w:rPr>
                <w:rFonts w:cs="Times New Roman"/>
                <w:szCs w:val="24"/>
              </w:rPr>
              <w:t>0/1</w:t>
            </w:r>
          </w:p>
        </w:tc>
      </w:tr>
      <w:tr w:rsidR="00847562" w:rsidRPr="00F8700E" w14:paraId="73BA3D45" w14:textId="77777777" w:rsidTr="00F60D59">
        <w:tc>
          <w:tcPr>
            <w:tcW w:w="833" w:type="pct"/>
            <w:vMerge/>
          </w:tcPr>
          <w:p w14:paraId="765A2706" w14:textId="77777777" w:rsidR="00847562" w:rsidRPr="00F8700E" w:rsidRDefault="00847562" w:rsidP="00F60D59">
            <w:pPr>
              <w:rPr>
                <w:rFonts w:cs="Times New Roman"/>
                <w:szCs w:val="24"/>
              </w:rPr>
            </w:pPr>
          </w:p>
        </w:tc>
        <w:tc>
          <w:tcPr>
            <w:tcW w:w="1034" w:type="pct"/>
            <w:gridSpan w:val="2"/>
            <w:vMerge w:val="restart"/>
            <w:shd w:val="clear" w:color="auto" w:fill="D9D9D9" w:themeFill="background1" w:themeFillShade="D9"/>
          </w:tcPr>
          <w:p w14:paraId="7B980BD6" w14:textId="77777777" w:rsidR="00847562" w:rsidRPr="00F8700E" w:rsidRDefault="00847562" w:rsidP="00F60D59">
            <w:pPr>
              <w:rPr>
                <w:rFonts w:cs="Times New Roman"/>
                <w:b/>
                <w:szCs w:val="24"/>
              </w:rPr>
            </w:pPr>
            <w:r w:rsidRPr="00F8700E">
              <w:rPr>
                <w:rFonts w:cs="Times New Roman"/>
                <w:b/>
                <w:szCs w:val="24"/>
              </w:rPr>
              <w:t>2) Statistical test</w:t>
            </w:r>
          </w:p>
        </w:tc>
        <w:tc>
          <w:tcPr>
            <w:tcW w:w="1645" w:type="pct"/>
            <w:shd w:val="clear" w:color="auto" w:fill="F2F2F2" w:themeFill="background1" w:themeFillShade="F2"/>
          </w:tcPr>
          <w:p w14:paraId="130AF7EC" w14:textId="77777777" w:rsidR="00847562" w:rsidRPr="00F8700E" w:rsidRDefault="00847562" w:rsidP="00F60D59">
            <w:pPr>
              <w:rPr>
                <w:rFonts w:cs="Times New Roman"/>
                <w:szCs w:val="24"/>
              </w:rPr>
            </w:pPr>
            <w:r w:rsidRPr="00F8700E">
              <w:rPr>
                <w:rFonts w:cs="Times New Roman"/>
                <w:szCs w:val="24"/>
              </w:rPr>
              <w:t xml:space="preserve">a) Analysis of measure outcomes are reported accurately  </w:t>
            </w:r>
          </w:p>
        </w:tc>
        <w:tc>
          <w:tcPr>
            <w:tcW w:w="1488" w:type="pct"/>
          </w:tcPr>
          <w:p w14:paraId="26D5D0DC" w14:textId="77777777" w:rsidR="00847562" w:rsidRPr="00F8700E" w:rsidRDefault="00847562" w:rsidP="00F60D59">
            <w:pPr>
              <w:jc w:val="center"/>
              <w:rPr>
                <w:rFonts w:cs="Times New Roman"/>
                <w:szCs w:val="24"/>
              </w:rPr>
            </w:pPr>
            <w:r w:rsidRPr="00F8700E">
              <w:rPr>
                <w:rFonts w:cs="Times New Roman"/>
                <w:szCs w:val="24"/>
              </w:rPr>
              <w:t>0/1</w:t>
            </w:r>
          </w:p>
        </w:tc>
      </w:tr>
      <w:tr w:rsidR="00847562" w:rsidRPr="00F8700E" w14:paraId="1F00B34D" w14:textId="77777777" w:rsidTr="00F60D59">
        <w:tc>
          <w:tcPr>
            <w:tcW w:w="833" w:type="pct"/>
            <w:vMerge/>
          </w:tcPr>
          <w:p w14:paraId="4ACD667E" w14:textId="77777777" w:rsidR="00847562" w:rsidRPr="00F8700E" w:rsidRDefault="00847562" w:rsidP="00F60D59">
            <w:pPr>
              <w:rPr>
                <w:rFonts w:cs="Times New Roman"/>
                <w:szCs w:val="24"/>
              </w:rPr>
            </w:pPr>
          </w:p>
        </w:tc>
        <w:tc>
          <w:tcPr>
            <w:tcW w:w="1034" w:type="pct"/>
            <w:gridSpan w:val="2"/>
            <w:vMerge/>
            <w:shd w:val="clear" w:color="auto" w:fill="D9D9D9" w:themeFill="background1" w:themeFillShade="D9"/>
          </w:tcPr>
          <w:p w14:paraId="44E1D54D" w14:textId="77777777" w:rsidR="00847562" w:rsidRPr="00F8700E" w:rsidRDefault="00847562" w:rsidP="00F60D59">
            <w:pPr>
              <w:rPr>
                <w:rFonts w:cs="Times New Roman"/>
                <w:b/>
                <w:szCs w:val="24"/>
              </w:rPr>
            </w:pPr>
          </w:p>
        </w:tc>
        <w:tc>
          <w:tcPr>
            <w:tcW w:w="1645" w:type="pct"/>
            <w:shd w:val="clear" w:color="auto" w:fill="F2F2F2" w:themeFill="background1" w:themeFillShade="F2"/>
          </w:tcPr>
          <w:p w14:paraId="26C0C989" w14:textId="77777777" w:rsidR="00847562" w:rsidRPr="00F8700E" w:rsidRDefault="00847562" w:rsidP="00F60D59">
            <w:pPr>
              <w:rPr>
                <w:rFonts w:cs="Times New Roman"/>
                <w:szCs w:val="24"/>
              </w:rPr>
            </w:pPr>
            <w:r w:rsidRPr="00F8700E">
              <w:rPr>
                <w:rFonts w:cs="Times New Roman"/>
                <w:szCs w:val="24"/>
              </w:rPr>
              <w:t>b)  Statistical tests are appropriate for research question</w:t>
            </w:r>
          </w:p>
        </w:tc>
        <w:tc>
          <w:tcPr>
            <w:tcW w:w="1488" w:type="pct"/>
          </w:tcPr>
          <w:p w14:paraId="4D004916" w14:textId="77777777" w:rsidR="00847562" w:rsidRPr="00F8700E" w:rsidRDefault="00847562" w:rsidP="00F60D59">
            <w:pPr>
              <w:jc w:val="center"/>
              <w:rPr>
                <w:rFonts w:cs="Times New Roman"/>
                <w:szCs w:val="24"/>
              </w:rPr>
            </w:pPr>
            <w:r w:rsidRPr="00F8700E">
              <w:rPr>
                <w:rFonts w:cs="Times New Roman"/>
                <w:szCs w:val="24"/>
              </w:rPr>
              <w:t>0/1/2</w:t>
            </w:r>
          </w:p>
        </w:tc>
      </w:tr>
      <w:tr w:rsidR="00847562" w:rsidRPr="00F8700E" w14:paraId="34E560D3" w14:textId="77777777" w:rsidTr="00F60D59">
        <w:tc>
          <w:tcPr>
            <w:tcW w:w="3512" w:type="pct"/>
            <w:gridSpan w:val="4"/>
            <w:shd w:val="clear" w:color="auto" w:fill="D9D9D9" w:themeFill="background1" w:themeFillShade="D9"/>
          </w:tcPr>
          <w:p w14:paraId="78EB506F" w14:textId="77777777" w:rsidR="00847562" w:rsidRPr="00F8700E" w:rsidRDefault="00847562" w:rsidP="00F60D59">
            <w:pPr>
              <w:jc w:val="right"/>
              <w:rPr>
                <w:rFonts w:cs="Times New Roman"/>
                <w:b/>
                <w:szCs w:val="24"/>
              </w:rPr>
            </w:pPr>
            <w:r w:rsidRPr="00F8700E">
              <w:rPr>
                <w:rFonts w:cs="Times New Roman"/>
                <w:b/>
                <w:szCs w:val="24"/>
              </w:rPr>
              <w:t>Total</w:t>
            </w:r>
          </w:p>
        </w:tc>
        <w:tc>
          <w:tcPr>
            <w:tcW w:w="1488" w:type="pct"/>
          </w:tcPr>
          <w:p w14:paraId="7679ACC1" w14:textId="77777777" w:rsidR="00847562" w:rsidRPr="00F8700E" w:rsidRDefault="00847562" w:rsidP="00F60D59">
            <w:pPr>
              <w:jc w:val="center"/>
              <w:rPr>
                <w:rFonts w:cs="Times New Roman"/>
                <w:szCs w:val="24"/>
              </w:rPr>
            </w:pPr>
            <w:r w:rsidRPr="00F8700E">
              <w:rPr>
                <w:rFonts w:cs="Times New Roman"/>
                <w:szCs w:val="24"/>
              </w:rPr>
              <w:t>/21</w:t>
            </w:r>
          </w:p>
        </w:tc>
      </w:tr>
      <w:tr w:rsidR="00847562" w:rsidRPr="00CF4529" w14:paraId="53AF3F21" w14:textId="77777777" w:rsidTr="00F60D59">
        <w:tc>
          <w:tcPr>
            <w:tcW w:w="1112" w:type="pct"/>
            <w:gridSpan w:val="2"/>
            <w:shd w:val="clear" w:color="auto" w:fill="D9D9D9" w:themeFill="background1" w:themeFillShade="D9"/>
          </w:tcPr>
          <w:p w14:paraId="5EC04A1B" w14:textId="77777777" w:rsidR="00847562" w:rsidRPr="00CF4529" w:rsidRDefault="00847562" w:rsidP="00F60D59">
            <w:pPr>
              <w:rPr>
                <w:rFonts w:ascii="Calibri" w:hAnsi="Calibri"/>
                <w:b/>
                <w:sz w:val="18"/>
                <w:szCs w:val="18"/>
              </w:rPr>
            </w:pPr>
            <w:r w:rsidRPr="00CF4529">
              <w:rPr>
                <w:rFonts w:ascii="Calibri" w:hAnsi="Calibri"/>
                <w:b/>
                <w:sz w:val="18"/>
                <w:szCs w:val="18"/>
              </w:rPr>
              <w:t>Incomplete outcome data</w:t>
            </w:r>
          </w:p>
        </w:tc>
        <w:tc>
          <w:tcPr>
            <w:tcW w:w="3888" w:type="pct"/>
            <w:gridSpan w:val="3"/>
          </w:tcPr>
          <w:p w14:paraId="11E7C447" w14:textId="77777777" w:rsidR="00847562" w:rsidRPr="00AE392A" w:rsidRDefault="00847562" w:rsidP="00F60D59">
            <w:pPr>
              <w:jc w:val="center"/>
              <w:rPr>
                <w:rFonts w:ascii="Calibri" w:hAnsi="Calibri"/>
              </w:rPr>
            </w:pPr>
          </w:p>
          <w:p w14:paraId="0361A2CD" w14:textId="77777777" w:rsidR="00847562" w:rsidRPr="00AE392A" w:rsidRDefault="00847562" w:rsidP="00F60D59">
            <w:pPr>
              <w:jc w:val="center"/>
              <w:rPr>
                <w:rFonts w:ascii="Calibri" w:hAnsi="Calibri"/>
              </w:rPr>
            </w:pPr>
          </w:p>
        </w:tc>
      </w:tr>
      <w:tr w:rsidR="00847562" w:rsidRPr="00CF4529" w14:paraId="1C44A082" w14:textId="77777777" w:rsidTr="00F60D59">
        <w:tc>
          <w:tcPr>
            <w:tcW w:w="1112" w:type="pct"/>
            <w:gridSpan w:val="2"/>
            <w:shd w:val="clear" w:color="auto" w:fill="D9D9D9" w:themeFill="background1" w:themeFillShade="D9"/>
          </w:tcPr>
          <w:p w14:paraId="0515B8B9" w14:textId="77777777" w:rsidR="00847562" w:rsidRPr="00CF4529" w:rsidRDefault="00847562" w:rsidP="00F60D59">
            <w:pPr>
              <w:rPr>
                <w:rFonts w:ascii="Calibri" w:hAnsi="Calibri"/>
                <w:b/>
                <w:sz w:val="18"/>
                <w:szCs w:val="18"/>
              </w:rPr>
            </w:pPr>
            <w:r w:rsidRPr="00CF4529">
              <w:rPr>
                <w:rFonts w:ascii="Calibri" w:hAnsi="Calibri"/>
                <w:b/>
                <w:sz w:val="18"/>
                <w:szCs w:val="18"/>
              </w:rPr>
              <w:t>Selective reporting</w:t>
            </w:r>
          </w:p>
        </w:tc>
        <w:tc>
          <w:tcPr>
            <w:tcW w:w="3888" w:type="pct"/>
            <w:gridSpan w:val="3"/>
          </w:tcPr>
          <w:p w14:paraId="2D5C3B9E" w14:textId="77777777" w:rsidR="00847562" w:rsidRPr="00AE392A" w:rsidRDefault="00847562" w:rsidP="00F60D59">
            <w:pPr>
              <w:jc w:val="center"/>
              <w:rPr>
                <w:rFonts w:ascii="Calibri" w:hAnsi="Calibri"/>
              </w:rPr>
            </w:pPr>
          </w:p>
          <w:p w14:paraId="4667EEE5" w14:textId="77777777" w:rsidR="00847562" w:rsidRPr="00AE392A" w:rsidRDefault="00847562" w:rsidP="00F60D59">
            <w:pPr>
              <w:jc w:val="center"/>
              <w:rPr>
                <w:rFonts w:ascii="Calibri" w:hAnsi="Calibri"/>
              </w:rPr>
            </w:pPr>
          </w:p>
        </w:tc>
      </w:tr>
      <w:tr w:rsidR="00847562" w:rsidRPr="00CF4529" w14:paraId="07C01ABA" w14:textId="77777777" w:rsidTr="00F60D59">
        <w:trPr>
          <w:trHeight w:val="138"/>
        </w:trPr>
        <w:tc>
          <w:tcPr>
            <w:tcW w:w="1112" w:type="pct"/>
            <w:gridSpan w:val="2"/>
            <w:shd w:val="clear" w:color="auto" w:fill="D9D9D9" w:themeFill="background1" w:themeFillShade="D9"/>
          </w:tcPr>
          <w:p w14:paraId="0FCE627D" w14:textId="77777777" w:rsidR="00847562" w:rsidRPr="00CF4529" w:rsidRDefault="00847562" w:rsidP="00F60D59">
            <w:pPr>
              <w:rPr>
                <w:rFonts w:ascii="Calibri" w:hAnsi="Calibri"/>
                <w:b/>
                <w:sz w:val="18"/>
                <w:szCs w:val="18"/>
              </w:rPr>
            </w:pPr>
            <w:r w:rsidRPr="00CF4529">
              <w:rPr>
                <w:rFonts w:ascii="Calibri" w:hAnsi="Calibri"/>
                <w:b/>
                <w:sz w:val="18"/>
                <w:szCs w:val="18"/>
              </w:rPr>
              <w:t>Other bias</w:t>
            </w:r>
          </w:p>
        </w:tc>
        <w:tc>
          <w:tcPr>
            <w:tcW w:w="3888" w:type="pct"/>
            <w:gridSpan w:val="3"/>
          </w:tcPr>
          <w:p w14:paraId="7BA4FEEB" w14:textId="77777777" w:rsidR="00847562" w:rsidRPr="00AE392A" w:rsidRDefault="00847562" w:rsidP="00F60D59">
            <w:pPr>
              <w:jc w:val="center"/>
              <w:rPr>
                <w:rFonts w:ascii="Calibri" w:hAnsi="Calibri"/>
              </w:rPr>
            </w:pPr>
          </w:p>
          <w:p w14:paraId="03D46F57" w14:textId="77777777" w:rsidR="00847562" w:rsidRPr="00AE392A" w:rsidRDefault="00847562" w:rsidP="00F60D59">
            <w:pPr>
              <w:jc w:val="center"/>
              <w:rPr>
                <w:rFonts w:ascii="Calibri" w:hAnsi="Calibri"/>
              </w:rPr>
            </w:pPr>
          </w:p>
        </w:tc>
      </w:tr>
    </w:tbl>
    <w:p w14:paraId="4AF6F4C6" w14:textId="77777777" w:rsidR="00847562" w:rsidRPr="00544895" w:rsidRDefault="00847562" w:rsidP="00544895">
      <w:pPr>
        <w:ind w:firstLine="0"/>
      </w:pPr>
    </w:p>
    <w:sectPr w:rsidR="00847562" w:rsidRPr="00544895" w:rsidSect="004F0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850CD" w14:textId="77777777" w:rsidR="000873BA" w:rsidRDefault="000873BA" w:rsidP="0080728B">
      <w:pPr>
        <w:spacing w:line="240" w:lineRule="auto"/>
      </w:pPr>
      <w:r>
        <w:separator/>
      </w:r>
    </w:p>
  </w:endnote>
  <w:endnote w:type="continuationSeparator" w:id="0">
    <w:p w14:paraId="4FBBFFF1" w14:textId="77777777" w:rsidR="000873BA" w:rsidRDefault="000873BA" w:rsidP="00807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5FEC" w14:textId="77777777" w:rsidR="000873BA" w:rsidRDefault="000873BA" w:rsidP="0080728B">
      <w:pPr>
        <w:spacing w:line="240" w:lineRule="auto"/>
      </w:pPr>
      <w:r>
        <w:separator/>
      </w:r>
    </w:p>
  </w:footnote>
  <w:footnote w:type="continuationSeparator" w:id="0">
    <w:p w14:paraId="5C515B8E" w14:textId="77777777" w:rsidR="000873BA" w:rsidRDefault="000873BA" w:rsidP="00807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6A8D" w14:textId="131B084A" w:rsidR="00F60D59" w:rsidRDefault="00F60D59" w:rsidP="00C21BF1">
    <w:pPr>
      <w:pStyle w:val="Header"/>
      <w:ind w:firstLine="0"/>
    </w:pPr>
    <w:r>
      <w:t>CHASING THE ANCHOR: REVIEW AND META-ANALYSIS</w:t>
    </w:r>
    <w:r>
      <w:tab/>
    </w:r>
    <w:r w:rsidR="00F71C14">
      <w:fldChar w:fldCharType="begin"/>
    </w:r>
    <w:r w:rsidR="00F71C14">
      <w:instrText xml:space="preserve"> PAGE   \* MERGEFORMAT </w:instrText>
    </w:r>
    <w:r w:rsidR="00F71C14">
      <w:fldChar w:fldCharType="separate"/>
    </w:r>
    <w:r w:rsidR="009A70AE">
      <w:rPr>
        <w:noProof/>
      </w:rPr>
      <w:t>1</w:t>
    </w:r>
    <w:r w:rsidR="00F71C1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87CA" w14:textId="7ECB9BFC" w:rsidR="00F60D59" w:rsidRDefault="00F60D59">
    <w:pPr>
      <w:pStyle w:val="Header"/>
      <w:jc w:val="right"/>
    </w:pPr>
    <w:r>
      <w:t>RUNNING HEAD: CHASING THE ANCHOR</w:t>
    </w:r>
    <w:r>
      <w:tab/>
    </w:r>
    <w:sdt>
      <w:sdtPr>
        <w:id w:val="668448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06D74BE" w14:textId="77777777" w:rsidR="00F60D59" w:rsidRDefault="00F6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03DD"/>
    <w:multiLevelType w:val="hybridMultilevel"/>
    <w:tmpl w:val="21AE5906"/>
    <w:lvl w:ilvl="0" w:tplc="8C1ED7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3EF159E"/>
    <w:multiLevelType w:val="hybridMultilevel"/>
    <w:tmpl w:val="F7AE912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2F55A8"/>
    <w:multiLevelType w:val="hybridMultilevel"/>
    <w:tmpl w:val="9710E77A"/>
    <w:lvl w:ilvl="0" w:tplc="F056A73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4252F6"/>
    <w:multiLevelType w:val="hybridMultilevel"/>
    <w:tmpl w:val="21AE5906"/>
    <w:lvl w:ilvl="0" w:tplc="8C1ED7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51"/>
    <w:rsid w:val="000007B8"/>
    <w:rsid w:val="00001F41"/>
    <w:rsid w:val="000116FF"/>
    <w:rsid w:val="00013614"/>
    <w:rsid w:val="000238CE"/>
    <w:rsid w:val="00026BDE"/>
    <w:rsid w:val="00034670"/>
    <w:rsid w:val="0003673D"/>
    <w:rsid w:val="00037D73"/>
    <w:rsid w:val="00044ED7"/>
    <w:rsid w:val="00045269"/>
    <w:rsid w:val="000452B1"/>
    <w:rsid w:val="00047CD6"/>
    <w:rsid w:val="00064445"/>
    <w:rsid w:val="0006738A"/>
    <w:rsid w:val="00070C93"/>
    <w:rsid w:val="0007160A"/>
    <w:rsid w:val="000750AB"/>
    <w:rsid w:val="000800FD"/>
    <w:rsid w:val="00080EA3"/>
    <w:rsid w:val="000867BB"/>
    <w:rsid w:val="000873BA"/>
    <w:rsid w:val="00095E48"/>
    <w:rsid w:val="000A003E"/>
    <w:rsid w:val="000A1229"/>
    <w:rsid w:val="000A298E"/>
    <w:rsid w:val="000A691D"/>
    <w:rsid w:val="000B445C"/>
    <w:rsid w:val="000B5514"/>
    <w:rsid w:val="000B55AC"/>
    <w:rsid w:val="000C553F"/>
    <w:rsid w:val="000D029D"/>
    <w:rsid w:val="000D264C"/>
    <w:rsid w:val="000D706A"/>
    <w:rsid w:val="000E7368"/>
    <w:rsid w:val="000F7585"/>
    <w:rsid w:val="001221FF"/>
    <w:rsid w:val="00126774"/>
    <w:rsid w:val="00130218"/>
    <w:rsid w:val="0013061A"/>
    <w:rsid w:val="00133EE1"/>
    <w:rsid w:val="00134D7F"/>
    <w:rsid w:val="00144F17"/>
    <w:rsid w:val="001501C8"/>
    <w:rsid w:val="00150579"/>
    <w:rsid w:val="00154003"/>
    <w:rsid w:val="00155B62"/>
    <w:rsid w:val="00167DB7"/>
    <w:rsid w:val="0017304E"/>
    <w:rsid w:val="00187F2F"/>
    <w:rsid w:val="00190008"/>
    <w:rsid w:val="00190D8E"/>
    <w:rsid w:val="001A0ACA"/>
    <w:rsid w:val="001B18A4"/>
    <w:rsid w:val="001B7B22"/>
    <w:rsid w:val="001D4CD9"/>
    <w:rsid w:val="001D71ED"/>
    <w:rsid w:val="001F63B8"/>
    <w:rsid w:val="001F7505"/>
    <w:rsid w:val="00203D02"/>
    <w:rsid w:val="00205628"/>
    <w:rsid w:val="00214105"/>
    <w:rsid w:val="0021744C"/>
    <w:rsid w:val="002225A1"/>
    <w:rsid w:val="00224AA6"/>
    <w:rsid w:val="00240048"/>
    <w:rsid w:val="002428DF"/>
    <w:rsid w:val="002504E5"/>
    <w:rsid w:val="00252240"/>
    <w:rsid w:val="002553E3"/>
    <w:rsid w:val="0026031F"/>
    <w:rsid w:val="00261D9E"/>
    <w:rsid w:val="00263C80"/>
    <w:rsid w:val="00264BE4"/>
    <w:rsid w:val="0027055F"/>
    <w:rsid w:val="00275F8A"/>
    <w:rsid w:val="002801E6"/>
    <w:rsid w:val="00280968"/>
    <w:rsid w:val="00282355"/>
    <w:rsid w:val="00284884"/>
    <w:rsid w:val="00284E2A"/>
    <w:rsid w:val="0028677C"/>
    <w:rsid w:val="00293AFE"/>
    <w:rsid w:val="002A09DB"/>
    <w:rsid w:val="002A4BA2"/>
    <w:rsid w:val="002A5F1E"/>
    <w:rsid w:val="002B1707"/>
    <w:rsid w:val="002B2E21"/>
    <w:rsid w:val="002B4B98"/>
    <w:rsid w:val="002B5448"/>
    <w:rsid w:val="002B5DEA"/>
    <w:rsid w:val="002C37C1"/>
    <w:rsid w:val="002D57E9"/>
    <w:rsid w:val="002E0EA8"/>
    <w:rsid w:val="002E5E54"/>
    <w:rsid w:val="002F04AA"/>
    <w:rsid w:val="002F2A84"/>
    <w:rsid w:val="002F6AA5"/>
    <w:rsid w:val="00307BDB"/>
    <w:rsid w:val="003128EC"/>
    <w:rsid w:val="00315668"/>
    <w:rsid w:val="00315D58"/>
    <w:rsid w:val="00324737"/>
    <w:rsid w:val="00341890"/>
    <w:rsid w:val="00344732"/>
    <w:rsid w:val="00356E0E"/>
    <w:rsid w:val="003633A9"/>
    <w:rsid w:val="00363935"/>
    <w:rsid w:val="003668AB"/>
    <w:rsid w:val="003701E3"/>
    <w:rsid w:val="00373435"/>
    <w:rsid w:val="00374FB9"/>
    <w:rsid w:val="0039143E"/>
    <w:rsid w:val="003A21F9"/>
    <w:rsid w:val="003A2D0D"/>
    <w:rsid w:val="003A37FD"/>
    <w:rsid w:val="003A4A8A"/>
    <w:rsid w:val="003B5C51"/>
    <w:rsid w:val="003C02CA"/>
    <w:rsid w:val="003D62C4"/>
    <w:rsid w:val="003E03DB"/>
    <w:rsid w:val="003E1DF5"/>
    <w:rsid w:val="003E52CC"/>
    <w:rsid w:val="003E5ECB"/>
    <w:rsid w:val="003F6B00"/>
    <w:rsid w:val="003F78D4"/>
    <w:rsid w:val="004070AA"/>
    <w:rsid w:val="00413880"/>
    <w:rsid w:val="00420DC0"/>
    <w:rsid w:val="0043034E"/>
    <w:rsid w:val="00432FCE"/>
    <w:rsid w:val="004343D8"/>
    <w:rsid w:val="004355C2"/>
    <w:rsid w:val="00435AF5"/>
    <w:rsid w:val="00436CE7"/>
    <w:rsid w:val="00443F80"/>
    <w:rsid w:val="00447907"/>
    <w:rsid w:val="00455123"/>
    <w:rsid w:val="00456FE1"/>
    <w:rsid w:val="0046318B"/>
    <w:rsid w:val="00465606"/>
    <w:rsid w:val="00471C2D"/>
    <w:rsid w:val="00472382"/>
    <w:rsid w:val="004775DB"/>
    <w:rsid w:val="0048036D"/>
    <w:rsid w:val="00481123"/>
    <w:rsid w:val="00481B5A"/>
    <w:rsid w:val="0048586F"/>
    <w:rsid w:val="00486575"/>
    <w:rsid w:val="00486827"/>
    <w:rsid w:val="004A592E"/>
    <w:rsid w:val="004A7DFE"/>
    <w:rsid w:val="004B39C8"/>
    <w:rsid w:val="004D1240"/>
    <w:rsid w:val="004D2116"/>
    <w:rsid w:val="004D4146"/>
    <w:rsid w:val="004E474C"/>
    <w:rsid w:val="004F04D3"/>
    <w:rsid w:val="004F04DE"/>
    <w:rsid w:val="004F4E2E"/>
    <w:rsid w:val="0051107C"/>
    <w:rsid w:val="005159E5"/>
    <w:rsid w:val="00526D5A"/>
    <w:rsid w:val="00530E16"/>
    <w:rsid w:val="00541393"/>
    <w:rsid w:val="00541B60"/>
    <w:rsid w:val="00544895"/>
    <w:rsid w:val="005470E1"/>
    <w:rsid w:val="00556086"/>
    <w:rsid w:val="00574F96"/>
    <w:rsid w:val="00575401"/>
    <w:rsid w:val="00575A63"/>
    <w:rsid w:val="00577651"/>
    <w:rsid w:val="005811A8"/>
    <w:rsid w:val="005846DD"/>
    <w:rsid w:val="00586A6D"/>
    <w:rsid w:val="00593677"/>
    <w:rsid w:val="0059584B"/>
    <w:rsid w:val="005B2286"/>
    <w:rsid w:val="005C343E"/>
    <w:rsid w:val="005D77E5"/>
    <w:rsid w:val="005E07B6"/>
    <w:rsid w:val="005E0893"/>
    <w:rsid w:val="005F39EF"/>
    <w:rsid w:val="005F7153"/>
    <w:rsid w:val="006039AE"/>
    <w:rsid w:val="00611E1E"/>
    <w:rsid w:val="00612169"/>
    <w:rsid w:val="006241FD"/>
    <w:rsid w:val="00642E0B"/>
    <w:rsid w:val="0064513C"/>
    <w:rsid w:val="00645B29"/>
    <w:rsid w:val="0064746E"/>
    <w:rsid w:val="00654293"/>
    <w:rsid w:val="00657600"/>
    <w:rsid w:val="00670809"/>
    <w:rsid w:val="00682F4A"/>
    <w:rsid w:val="00683BC9"/>
    <w:rsid w:val="00692680"/>
    <w:rsid w:val="00694F5F"/>
    <w:rsid w:val="006A4958"/>
    <w:rsid w:val="006B2396"/>
    <w:rsid w:val="006C0A74"/>
    <w:rsid w:val="006C5E7B"/>
    <w:rsid w:val="006C66F4"/>
    <w:rsid w:val="006D026B"/>
    <w:rsid w:val="006D3136"/>
    <w:rsid w:val="006D59C3"/>
    <w:rsid w:val="006E2D6C"/>
    <w:rsid w:val="00704994"/>
    <w:rsid w:val="00712544"/>
    <w:rsid w:val="0071277B"/>
    <w:rsid w:val="007141F2"/>
    <w:rsid w:val="00717F5D"/>
    <w:rsid w:val="00725417"/>
    <w:rsid w:val="00726192"/>
    <w:rsid w:val="0073767A"/>
    <w:rsid w:val="00742A78"/>
    <w:rsid w:val="00750303"/>
    <w:rsid w:val="007567C6"/>
    <w:rsid w:val="00761925"/>
    <w:rsid w:val="00784860"/>
    <w:rsid w:val="00785F41"/>
    <w:rsid w:val="007869D8"/>
    <w:rsid w:val="00787848"/>
    <w:rsid w:val="00795A5E"/>
    <w:rsid w:val="007A2EAA"/>
    <w:rsid w:val="007A3DD9"/>
    <w:rsid w:val="007B5E3E"/>
    <w:rsid w:val="007C5AA3"/>
    <w:rsid w:val="007D07B4"/>
    <w:rsid w:val="007D0914"/>
    <w:rsid w:val="007D1101"/>
    <w:rsid w:val="007D1663"/>
    <w:rsid w:val="007E00D6"/>
    <w:rsid w:val="007E22A9"/>
    <w:rsid w:val="007E63DD"/>
    <w:rsid w:val="007E78E0"/>
    <w:rsid w:val="007E7B27"/>
    <w:rsid w:val="007F01E0"/>
    <w:rsid w:val="007F2BAA"/>
    <w:rsid w:val="007F7FC7"/>
    <w:rsid w:val="00800851"/>
    <w:rsid w:val="00806BB7"/>
    <w:rsid w:val="0080728B"/>
    <w:rsid w:val="0081049D"/>
    <w:rsid w:val="00820378"/>
    <w:rsid w:val="00820430"/>
    <w:rsid w:val="00820DA2"/>
    <w:rsid w:val="0082315A"/>
    <w:rsid w:val="0082663B"/>
    <w:rsid w:val="008418F6"/>
    <w:rsid w:val="008423AD"/>
    <w:rsid w:val="00842FB8"/>
    <w:rsid w:val="0084397D"/>
    <w:rsid w:val="00847562"/>
    <w:rsid w:val="008531B5"/>
    <w:rsid w:val="00866803"/>
    <w:rsid w:val="00866D63"/>
    <w:rsid w:val="00884AF5"/>
    <w:rsid w:val="00884B52"/>
    <w:rsid w:val="00891A41"/>
    <w:rsid w:val="00891DCE"/>
    <w:rsid w:val="0089222D"/>
    <w:rsid w:val="00894F2F"/>
    <w:rsid w:val="008B2326"/>
    <w:rsid w:val="008B36B4"/>
    <w:rsid w:val="008B452B"/>
    <w:rsid w:val="008C00F9"/>
    <w:rsid w:val="008C1F89"/>
    <w:rsid w:val="008D02B2"/>
    <w:rsid w:val="008D0AC5"/>
    <w:rsid w:val="008D331D"/>
    <w:rsid w:val="008E0379"/>
    <w:rsid w:val="008F1431"/>
    <w:rsid w:val="008F1D30"/>
    <w:rsid w:val="0090215B"/>
    <w:rsid w:val="00903EDA"/>
    <w:rsid w:val="00911109"/>
    <w:rsid w:val="00914587"/>
    <w:rsid w:val="00922FA7"/>
    <w:rsid w:val="0094199C"/>
    <w:rsid w:val="00942742"/>
    <w:rsid w:val="0094726C"/>
    <w:rsid w:val="0095415C"/>
    <w:rsid w:val="00954AF4"/>
    <w:rsid w:val="009630CD"/>
    <w:rsid w:val="009640B4"/>
    <w:rsid w:val="00966979"/>
    <w:rsid w:val="00981D4A"/>
    <w:rsid w:val="00990489"/>
    <w:rsid w:val="009949DC"/>
    <w:rsid w:val="009A6DA5"/>
    <w:rsid w:val="009A70AE"/>
    <w:rsid w:val="009B53C2"/>
    <w:rsid w:val="009B69C1"/>
    <w:rsid w:val="009C432F"/>
    <w:rsid w:val="009D0B6C"/>
    <w:rsid w:val="009E2C7E"/>
    <w:rsid w:val="009E5715"/>
    <w:rsid w:val="009F2B6F"/>
    <w:rsid w:val="009F75FC"/>
    <w:rsid w:val="009F7A36"/>
    <w:rsid w:val="00A0351D"/>
    <w:rsid w:val="00A03D78"/>
    <w:rsid w:val="00A13382"/>
    <w:rsid w:val="00A144CD"/>
    <w:rsid w:val="00A234E8"/>
    <w:rsid w:val="00A2388E"/>
    <w:rsid w:val="00A24719"/>
    <w:rsid w:val="00A275E3"/>
    <w:rsid w:val="00A36826"/>
    <w:rsid w:val="00A45577"/>
    <w:rsid w:val="00A4617E"/>
    <w:rsid w:val="00A507E5"/>
    <w:rsid w:val="00A536B3"/>
    <w:rsid w:val="00A57EED"/>
    <w:rsid w:val="00A63702"/>
    <w:rsid w:val="00A74639"/>
    <w:rsid w:val="00A76AA2"/>
    <w:rsid w:val="00A81A8B"/>
    <w:rsid w:val="00A84346"/>
    <w:rsid w:val="00A8778E"/>
    <w:rsid w:val="00A90A2F"/>
    <w:rsid w:val="00A922D0"/>
    <w:rsid w:val="00A944CB"/>
    <w:rsid w:val="00A9465C"/>
    <w:rsid w:val="00AA09B9"/>
    <w:rsid w:val="00AA2DDB"/>
    <w:rsid w:val="00AB29FF"/>
    <w:rsid w:val="00AB3875"/>
    <w:rsid w:val="00AB51AB"/>
    <w:rsid w:val="00AB7345"/>
    <w:rsid w:val="00AC0FF1"/>
    <w:rsid w:val="00AC31D4"/>
    <w:rsid w:val="00AC42B0"/>
    <w:rsid w:val="00AC77E3"/>
    <w:rsid w:val="00AD0EEF"/>
    <w:rsid w:val="00AF062E"/>
    <w:rsid w:val="00AF1EF7"/>
    <w:rsid w:val="00AF694F"/>
    <w:rsid w:val="00B044EE"/>
    <w:rsid w:val="00B137A1"/>
    <w:rsid w:val="00B149D1"/>
    <w:rsid w:val="00B162D1"/>
    <w:rsid w:val="00B2351B"/>
    <w:rsid w:val="00B37FC7"/>
    <w:rsid w:val="00B37FFC"/>
    <w:rsid w:val="00B42BC9"/>
    <w:rsid w:val="00B47284"/>
    <w:rsid w:val="00B47E6E"/>
    <w:rsid w:val="00B566E8"/>
    <w:rsid w:val="00B566F0"/>
    <w:rsid w:val="00B60310"/>
    <w:rsid w:val="00B6381A"/>
    <w:rsid w:val="00B6625A"/>
    <w:rsid w:val="00B72443"/>
    <w:rsid w:val="00B73181"/>
    <w:rsid w:val="00B807B3"/>
    <w:rsid w:val="00B83871"/>
    <w:rsid w:val="00B8728A"/>
    <w:rsid w:val="00B9247B"/>
    <w:rsid w:val="00B933AD"/>
    <w:rsid w:val="00B93E32"/>
    <w:rsid w:val="00B9455C"/>
    <w:rsid w:val="00BA75C9"/>
    <w:rsid w:val="00BB0F3B"/>
    <w:rsid w:val="00BB2785"/>
    <w:rsid w:val="00BB6B00"/>
    <w:rsid w:val="00BC7E5C"/>
    <w:rsid w:val="00BD033E"/>
    <w:rsid w:val="00BD26F3"/>
    <w:rsid w:val="00BD55F0"/>
    <w:rsid w:val="00BE1252"/>
    <w:rsid w:val="00BE385B"/>
    <w:rsid w:val="00BF411C"/>
    <w:rsid w:val="00C03C1B"/>
    <w:rsid w:val="00C1037C"/>
    <w:rsid w:val="00C21BF1"/>
    <w:rsid w:val="00C23EAD"/>
    <w:rsid w:val="00C32C22"/>
    <w:rsid w:val="00C366C5"/>
    <w:rsid w:val="00C409DF"/>
    <w:rsid w:val="00C42B51"/>
    <w:rsid w:val="00C4474D"/>
    <w:rsid w:val="00C74CF4"/>
    <w:rsid w:val="00C75DD9"/>
    <w:rsid w:val="00C82335"/>
    <w:rsid w:val="00C83592"/>
    <w:rsid w:val="00C8625A"/>
    <w:rsid w:val="00C8794C"/>
    <w:rsid w:val="00C9159C"/>
    <w:rsid w:val="00C9277A"/>
    <w:rsid w:val="00C93014"/>
    <w:rsid w:val="00CB556B"/>
    <w:rsid w:val="00CB75D3"/>
    <w:rsid w:val="00CC1B03"/>
    <w:rsid w:val="00CC360B"/>
    <w:rsid w:val="00CC417A"/>
    <w:rsid w:val="00CC75C0"/>
    <w:rsid w:val="00CC7A2C"/>
    <w:rsid w:val="00CD0BEA"/>
    <w:rsid w:val="00CD34BB"/>
    <w:rsid w:val="00CD5A3F"/>
    <w:rsid w:val="00CD7E60"/>
    <w:rsid w:val="00CE0727"/>
    <w:rsid w:val="00CF0752"/>
    <w:rsid w:val="00CF3113"/>
    <w:rsid w:val="00CF5E3F"/>
    <w:rsid w:val="00CF6307"/>
    <w:rsid w:val="00D008BA"/>
    <w:rsid w:val="00D01A7E"/>
    <w:rsid w:val="00D105F0"/>
    <w:rsid w:val="00D21C6B"/>
    <w:rsid w:val="00D2239E"/>
    <w:rsid w:val="00D23899"/>
    <w:rsid w:val="00D3236E"/>
    <w:rsid w:val="00D41ACD"/>
    <w:rsid w:val="00D430F1"/>
    <w:rsid w:val="00D46EA9"/>
    <w:rsid w:val="00D4796A"/>
    <w:rsid w:val="00D500B1"/>
    <w:rsid w:val="00D52431"/>
    <w:rsid w:val="00D60864"/>
    <w:rsid w:val="00D60C23"/>
    <w:rsid w:val="00D658B7"/>
    <w:rsid w:val="00D672B8"/>
    <w:rsid w:val="00D701CC"/>
    <w:rsid w:val="00D70B52"/>
    <w:rsid w:val="00D74D55"/>
    <w:rsid w:val="00D768ED"/>
    <w:rsid w:val="00D77C4E"/>
    <w:rsid w:val="00D91C40"/>
    <w:rsid w:val="00DA2E21"/>
    <w:rsid w:val="00DA3528"/>
    <w:rsid w:val="00DA50D1"/>
    <w:rsid w:val="00DA57F5"/>
    <w:rsid w:val="00DB09D9"/>
    <w:rsid w:val="00DB10FD"/>
    <w:rsid w:val="00DB7FBC"/>
    <w:rsid w:val="00DC44C3"/>
    <w:rsid w:val="00DD1DDB"/>
    <w:rsid w:val="00DD4734"/>
    <w:rsid w:val="00DE288C"/>
    <w:rsid w:val="00DE5B7B"/>
    <w:rsid w:val="00DE7BF9"/>
    <w:rsid w:val="00DF7AF6"/>
    <w:rsid w:val="00E018D3"/>
    <w:rsid w:val="00E01969"/>
    <w:rsid w:val="00E0449C"/>
    <w:rsid w:val="00E2090D"/>
    <w:rsid w:val="00E25202"/>
    <w:rsid w:val="00E30386"/>
    <w:rsid w:val="00E37662"/>
    <w:rsid w:val="00E560AB"/>
    <w:rsid w:val="00E63F54"/>
    <w:rsid w:val="00E655A1"/>
    <w:rsid w:val="00E65976"/>
    <w:rsid w:val="00E65D52"/>
    <w:rsid w:val="00E70700"/>
    <w:rsid w:val="00E71562"/>
    <w:rsid w:val="00E766A0"/>
    <w:rsid w:val="00E81E1E"/>
    <w:rsid w:val="00E83124"/>
    <w:rsid w:val="00E83891"/>
    <w:rsid w:val="00E85C23"/>
    <w:rsid w:val="00E87EF4"/>
    <w:rsid w:val="00E92E6A"/>
    <w:rsid w:val="00EA38F9"/>
    <w:rsid w:val="00EA57B2"/>
    <w:rsid w:val="00ED42E4"/>
    <w:rsid w:val="00ED4D95"/>
    <w:rsid w:val="00EE12C0"/>
    <w:rsid w:val="00EE5038"/>
    <w:rsid w:val="00EE67EB"/>
    <w:rsid w:val="00EE6E9C"/>
    <w:rsid w:val="00F0370F"/>
    <w:rsid w:val="00F05736"/>
    <w:rsid w:val="00F05E39"/>
    <w:rsid w:val="00F17EA0"/>
    <w:rsid w:val="00F20134"/>
    <w:rsid w:val="00F22F13"/>
    <w:rsid w:val="00F30B2D"/>
    <w:rsid w:val="00F35672"/>
    <w:rsid w:val="00F41E63"/>
    <w:rsid w:val="00F45B5C"/>
    <w:rsid w:val="00F53D36"/>
    <w:rsid w:val="00F60D59"/>
    <w:rsid w:val="00F66927"/>
    <w:rsid w:val="00F671BA"/>
    <w:rsid w:val="00F718DA"/>
    <w:rsid w:val="00F71C14"/>
    <w:rsid w:val="00F74E91"/>
    <w:rsid w:val="00F82FFA"/>
    <w:rsid w:val="00F844A7"/>
    <w:rsid w:val="00F8700E"/>
    <w:rsid w:val="00F872B1"/>
    <w:rsid w:val="00F94265"/>
    <w:rsid w:val="00F94914"/>
    <w:rsid w:val="00F95790"/>
    <w:rsid w:val="00F95DCE"/>
    <w:rsid w:val="00F97545"/>
    <w:rsid w:val="00F97BC0"/>
    <w:rsid w:val="00FA2561"/>
    <w:rsid w:val="00FA6BFB"/>
    <w:rsid w:val="00FB59AB"/>
    <w:rsid w:val="00FB64B5"/>
    <w:rsid w:val="00FC2E9D"/>
    <w:rsid w:val="00FC3452"/>
    <w:rsid w:val="00FC638A"/>
    <w:rsid w:val="00FD25C3"/>
    <w:rsid w:val="00FD2EF0"/>
    <w:rsid w:val="00FD62D6"/>
    <w:rsid w:val="00FF4B97"/>
    <w:rsid w:val="00FF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9EFC6"/>
  <w15:chartTrackingRefBased/>
  <w15:docId w15:val="{3A679CB5-0D0A-4505-90AA-D696BE20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0E"/>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2B2E21"/>
    <w:pPr>
      <w:keepNext/>
      <w:keepLines/>
      <w:ind w:firstLine="0"/>
      <w:jc w:val="center"/>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E655A1"/>
    <w:pPr>
      <w:jc w:val="left"/>
      <w:outlineLvl w:val="1"/>
    </w:pPr>
    <w:rPr>
      <w:szCs w:val="26"/>
    </w:rPr>
  </w:style>
  <w:style w:type="paragraph" w:styleId="Heading3">
    <w:name w:val="heading 3"/>
    <w:basedOn w:val="Heading2"/>
    <w:next w:val="Normal"/>
    <w:link w:val="Heading3Char"/>
    <w:uiPriority w:val="9"/>
    <w:unhideWhenUsed/>
    <w:qFormat/>
    <w:rsid w:val="00820DA2"/>
    <w:pPr>
      <w:outlineLvl w:val="2"/>
    </w:pPr>
    <w:rPr>
      <w:i/>
      <w:szCs w:val="24"/>
    </w:rPr>
  </w:style>
  <w:style w:type="paragraph" w:styleId="Heading4">
    <w:name w:val="heading 4"/>
    <w:basedOn w:val="Heading3"/>
    <w:next w:val="Normal"/>
    <w:link w:val="Heading4Char"/>
    <w:uiPriority w:val="9"/>
    <w:unhideWhenUsed/>
    <w:qFormat/>
    <w:rsid w:val="006C5E7B"/>
    <w:pPr>
      <w:keepLines w:val="0"/>
      <w:ind w:firstLine="720"/>
      <w:outlineLvl w:val="3"/>
    </w:pPr>
    <w:rPr>
      <w:i w:val="0"/>
      <w:iCs/>
    </w:rPr>
  </w:style>
  <w:style w:type="paragraph" w:styleId="Heading5">
    <w:name w:val="heading 5"/>
    <w:basedOn w:val="Heading4"/>
    <w:next w:val="Normal"/>
    <w:link w:val="Heading5Char"/>
    <w:uiPriority w:val="9"/>
    <w:semiHidden/>
    <w:unhideWhenUsed/>
    <w:qFormat/>
    <w:rsid w:val="00472382"/>
    <w:pPr>
      <w:spacing w:before="4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8B"/>
    <w:pPr>
      <w:tabs>
        <w:tab w:val="center" w:pos="4513"/>
        <w:tab w:val="right" w:pos="9026"/>
      </w:tabs>
      <w:spacing w:line="240" w:lineRule="auto"/>
    </w:pPr>
  </w:style>
  <w:style w:type="character" w:customStyle="1" w:styleId="HeaderChar">
    <w:name w:val="Header Char"/>
    <w:basedOn w:val="DefaultParagraphFont"/>
    <w:link w:val="Header"/>
    <w:uiPriority w:val="99"/>
    <w:rsid w:val="0080728B"/>
  </w:style>
  <w:style w:type="paragraph" w:styleId="Footer">
    <w:name w:val="footer"/>
    <w:basedOn w:val="Normal"/>
    <w:link w:val="FooterChar"/>
    <w:uiPriority w:val="99"/>
    <w:unhideWhenUsed/>
    <w:rsid w:val="0080728B"/>
    <w:pPr>
      <w:tabs>
        <w:tab w:val="center" w:pos="4513"/>
        <w:tab w:val="right" w:pos="9026"/>
      </w:tabs>
      <w:spacing w:line="240" w:lineRule="auto"/>
    </w:pPr>
  </w:style>
  <w:style w:type="character" w:customStyle="1" w:styleId="FooterChar">
    <w:name w:val="Footer Char"/>
    <w:basedOn w:val="DefaultParagraphFont"/>
    <w:link w:val="Footer"/>
    <w:uiPriority w:val="99"/>
    <w:rsid w:val="0080728B"/>
  </w:style>
  <w:style w:type="character" w:customStyle="1" w:styleId="Heading1Char">
    <w:name w:val="Heading 1 Char"/>
    <w:basedOn w:val="DefaultParagraphFont"/>
    <w:link w:val="Heading1"/>
    <w:uiPriority w:val="9"/>
    <w:rsid w:val="002B2E2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655A1"/>
    <w:rPr>
      <w:rFonts w:ascii="Times New Roman" w:eastAsiaTheme="majorEastAsia" w:hAnsi="Times New Roman" w:cstheme="majorBidi"/>
      <w:b/>
      <w:sz w:val="24"/>
      <w:szCs w:val="26"/>
    </w:rPr>
  </w:style>
  <w:style w:type="paragraph" w:styleId="Title">
    <w:name w:val="Title"/>
    <w:basedOn w:val="Normal"/>
    <w:next w:val="Normal"/>
    <w:link w:val="TitleChar"/>
    <w:uiPriority w:val="10"/>
    <w:rsid w:val="0027055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55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20DA2"/>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6C5E7B"/>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semiHidden/>
    <w:rsid w:val="00472382"/>
    <w:rPr>
      <w:rFonts w:ascii="Times New Roman" w:eastAsiaTheme="majorEastAsia" w:hAnsi="Times New Roman" w:cstheme="majorBidi"/>
      <w:b/>
      <w:i/>
      <w:iCs/>
      <w:sz w:val="24"/>
      <w:szCs w:val="24"/>
    </w:rPr>
  </w:style>
  <w:style w:type="character" w:styleId="CommentReference">
    <w:name w:val="annotation reference"/>
    <w:basedOn w:val="DefaultParagraphFont"/>
    <w:uiPriority w:val="99"/>
    <w:semiHidden/>
    <w:unhideWhenUsed/>
    <w:rsid w:val="00B47E6E"/>
    <w:rPr>
      <w:sz w:val="16"/>
      <w:szCs w:val="16"/>
    </w:rPr>
  </w:style>
  <w:style w:type="paragraph" w:styleId="CommentText">
    <w:name w:val="annotation text"/>
    <w:basedOn w:val="Normal"/>
    <w:link w:val="CommentTextChar"/>
    <w:uiPriority w:val="99"/>
    <w:semiHidden/>
    <w:unhideWhenUsed/>
    <w:rsid w:val="00B47E6E"/>
    <w:pPr>
      <w:spacing w:after="160" w:line="240" w:lineRule="auto"/>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B47E6E"/>
    <w:rPr>
      <w:sz w:val="20"/>
      <w:szCs w:val="20"/>
      <w:lang w:val="en-CA"/>
    </w:rPr>
  </w:style>
  <w:style w:type="paragraph" w:styleId="BalloonText">
    <w:name w:val="Balloon Text"/>
    <w:basedOn w:val="Normal"/>
    <w:link w:val="BalloonTextChar"/>
    <w:uiPriority w:val="99"/>
    <w:semiHidden/>
    <w:unhideWhenUsed/>
    <w:rsid w:val="00B47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706A"/>
    <w:pPr>
      <w:spacing w:after="0"/>
    </w:pPr>
    <w:rPr>
      <w:rFonts w:ascii="Times New Roman" w:hAnsi="Times New Roman"/>
      <w:b/>
      <w:bCs/>
      <w:lang w:val="en-AU"/>
    </w:rPr>
  </w:style>
  <w:style w:type="character" w:customStyle="1" w:styleId="CommentSubjectChar">
    <w:name w:val="Comment Subject Char"/>
    <w:basedOn w:val="CommentTextChar"/>
    <w:link w:val="CommentSubject"/>
    <w:uiPriority w:val="99"/>
    <w:semiHidden/>
    <w:rsid w:val="000D706A"/>
    <w:rPr>
      <w:rFonts w:ascii="Times New Roman" w:hAnsi="Times New Roman"/>
      <w:b/>
      <w:bCs/>
      <w:sz w:val="20"/>
      <w:szCs w:val="20"/>
      <w:lang w:val="en-CA"/>
    </w:rPr>
  </w:style>
  <w:style w:type="paragraph" w:styleId="TOCHeading">
    <w:name w:val="TOC Heading"/>
    <w:basedOn w:val="Heading1"/>
    <w:next w:val="Normal"/>
    <w:uiPriority w:val="39"/>
    <w:unhideWhenUsed/>
    <w:qFormat/>
    <w:rsid w:val="00FB59AB"/>
    <w:pPr>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B59AB"/>
    <w:pPr>
      <w:spacing w:after="100"/>
    </w:pPr>
  </w:style>
  <w:style w:type="paragraph" w:styleId="TOC2">
    <w:name w:val="toc 2"/>
    <w:basedOn w:val="Normal"/>
    <w:next w:val="Normal"/>
    <w:autoRedefine/>
    <w:uiPriority w:val="39"/>
    <w:unhideWhenUsed/>
    <w:rsid w:val="00FB59AB"/>
    <w:pPr>
      <w:spacing w:after="100"/>
      <w:ind w:left="240"/>
    </w:pPr>
  </w:style>
  <w:style w:type="paragraph" w:styleId="TOC3">
    <w:name w:val="toc 3"/>
    <w:basedOn w:val="Normal"/>
    <w:next w:val="Normal"/>
    <w:autoRedefine/>
    <w:uiPriority w:val="39"/>
    <w:unhideWhenUsed/>
    <w:rsid w:val="00FB59AB"/>
    <w:pPr>
      <w:spacing w:after="100"/>
      <w:ind w:left="480"/>
    </w:pPr>
  </w:style>
  <w:style w:type="character" w:styleId="Hyperlink">
    <w:name w:val="Hyperlink"/>
    <w:basedOn w:val="DefaultParagraphFont"/>
    <w:uiPriority w:val="99"/>
    <w:unhideWhenUsed/>
    <w:rsid w:val="00FB59AB"/>
    <w:rPr>
      <w:color w:val="0563C1" w:themeColor="hyperlink"/>
      <w:u w:val="single"/>
    </w:rPr>
  </w:style>
  <w:style w:type="paragraph" w:customStyle="1" w:styleId="Figures">
    <w:name w:val="Figures"/>
    <w:basedOn w:val="Normal"/>
    <w:link w:val="FiguresChar"/>
    <w:qFormat/>
    <w:rsid w:val="008D02B2"/>
    <w:pPr>
      <w:ind w:firstLine="0"/>
    </w:pPr>
    <w:rPr>
      <w:noProof/>
      <w:lang w:eastAsia="en-AU"/>
    </w:rPr>
  </w:style>
  <w:style w:type="paragraph" w:styleId="Caption">
    <w:name w:val="caption"/>
    <w:basedOn w:val="Normal"/>
    <w:next w:val="Normal"/>
    <w:uiPriority w:val="35"/>
    <w:unhideWhenUsed/>
    <w:qFormat/>
    <w:rsid w:val="008D02B2"/>
    <w:pPr>
      <w:spacing w:after="200" w:line="240" w:lineRule="auto"/>
    </w:pPr>
    <w:rPr>
      <w:i/>
      <w:iCs/>
      <w:color w:val="44546A" w:themeColor="text2"/>
      <w:sz w:val="18"/>
      <w:szCs w:val="18"/>
    </w:rPr>
  </w:style>
  <w:style w:type="character" w:customStyle="1" w:styleId="FiguresChar">
    <w:name w:val="Figures Char"/>
    <w:basedOn w:val="DefaultParagraphFont"/>
    <w:link w:val="Figures"/>
    <w:rsid w:val="008D02B2"/>
    <w:rPr>
      <w:rFonts w:ascii="Times New Roman" w:hAnsi="Times New Roman"/>
      <w:noProof/>
      <w:sz w:val="24"/>
      <w:lang w:eastAsia="en-AU"/>
    </w:rPr>
  </w:style>
  <w:style w:type="table" w:styleId="TableGrid">
    <w:name w:val="Table Grid"/>
    <w:basedOn w:val="TableNormal"/>
    <w:uiPriority w:val="59"/>
    <w:rsid w:val="005936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next w:val="Normal"/>
    <w:link w:val="TablesChar"/>
    <w:qFormat/>
    <w:rsid w:val="00AA2DDB"/>
    <w:pPr>
      <w:spacing w:after="0" w:line="240" w:lineRule="auto"/>
    </w:pPr>
    <w:rPr>
      <w:rFonts w:ascii="Times New Roman" w:hAnsi="Times New Roman"/>
      <w:noProof/>
      <w:sz w:val="20"/>
      <w:lang w:val="en-CA" w:eastAsia="en-AU"/>
    </w:rPr>
  </w:style>
  <w:style w:type="paragraph" w:styleId="TOC4">
    <w:name w:val="toc 4"/>
    <w:basedOn w:val="Normal"/>
    <w:next w:val="Normal"/>
    <w:autoRedefine/>
    <w:uiPriority w:val="39"/>
    <w:unhideWhenUsed/>
    <w:rsid w:val="008C1F89"/>
    <w:pPr>
      <w:spacing w:after="100"/>
      <w:ind w:left="720"/>
    </w:pPr>
  </w:style>
  <w:style w:type="character" w:customStyle="1" w:styleId="TablesChar">
    <w:name w:val="Tables Char"/>
    <w:basedOn w:val="FiguresChar"/>
    <w:link w:val="Tables"/>
    <w:rsid w:val="00AA2DDB"/>
    <w:rPr>
      <w:rFonts w:ascii="Times New Roman" w:hAnsi="Times New Roman"/>
      <w:noProof/>
      <w:sz w:val="20"/>
      <w:lang w:val="en-CA" w:eastAsia="en-AU"/>
    </w:rPr>
  </w:style>
  <w:style w:type="paragraph" w:styleId="Bibliography">
    <w:name w:val="Bibliography"/>
    <w:basedOn w:val="Normal"/>
    <w:next w:val="Normal"/>
    <w:uiPriority w:val="37"/>
    <w:unhideWhenUsed/>
    <w:rsid w:val="004D2116"/>
    <w:pPr>
      <w:ind w:left="720" w:hanging="720"/>
    </w:pPr>
  </w:style>
  <w:style w:type="paragraph" w:styleId="ListParagraph">
    <w:name w:val="List Paragraph"/>
    <w:basedOn w:val="Normal"/>
    <w:uiPriority w:val="34"/>
    <w:qFormat/>
    <w:rsid w:val="00420DC0"/>
    <w:pPr>
      <w:ind w:left="720"/>
      <w:contextualSpacing/>
    </w:pPr>
  </w:style>
  <w:style w:type="paragraph" w:styleId="Revision">
    <w:name w:val="Revision"/>
    <w:hidden/>
    <w:uiPriority w:val="99"/>
    <w:semiHidden/>
    <w:rsid w:val="007E63D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95415C"/>
    <w:rPr>
      <w:color w:val="954F72" w:themeColor="followedHyperlink"/>
      <w:u w:val="single"/>
    </w:rPr>
  </w:style>
  <w:style w:type="paragraph" w:styleId="NormalWeb">
    <w:name w:val="Normal (Web)"/>
    <w:basedOn w:val="Normal"/>
    <w:uiPriority w:val="99"/>
    <w:semiHidden/>
    <w:unhideWhenUsed/>
    <w:rsid w:val="00F60D59"/>
    <w:pPr>
      <w:spacing w:before="100" w:beforeAutospacing="1" w:after="100" w:afterAutospacing="1" w:line="240" w:lineRule="auto"/>
      <w:ind w:firstLine="0"/>
    </w:pPr>
    <w:rPr>
      <w:rFonts w:eastAsia="Times New Roman" w:cs="Times New Roman"/>
      <w:szCs w:val="24"/>
      <w:lang w:val="en-CA" w:eastAsia="en-CA"/>
    </w:rPr>
  </w:style>
  <w:style w:type="character" w:styleId="LineNumber">
    <w:name w:val="line number"/>
    <w:basedOn w:val="DefaultParagraphFont"/>
    <w:uiPriority w:val="99"/>
    <w:semiHidden/>
    <w:unhideWhenUsed/>
    <w:rsid w:val="009A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1730">
      <w:bodyDiv w:val="1"/>
      <w:marLeft w:val="0"/>
      <w:marRight w:val="0"/>
      <w:marTop w:val="0"/>
      <w:marBottom w:val="0"/>
      <w:divBdr>
        <w:top w:val="none" w:sz="0" w:space="0" w:color="auto"/>
        <w:left w:val="none" w:sz="0" w:space="0" w:color="auto"/>
        <w:bottom w:val="none" w:sz="0" w:space="0" w:color="auto"/>
        <w:right w:val="none" w:sz="0" w:space="0" w:color="auto"/>
      </w:divBdr>
      <w:divsChild>
        <w:div w:id="92744683">
          <w:marLeft w:val="0"/>
          <w:marRight w:val="0"/>
          <w:marTop w:val="0"/>
          <w:marBottom w:val="0"/>
          <w:divBdr>
            <w:top w:val="none" w:sz="0" w:space="0" w:color="auto"/>
            <w:left w:val="none" w:sz="0" w:space="0" w:color="auto"/>
            <w:bottom w:val="none" w:sz="0" w:space="0" w:color="auto"/>
            <w:right w:val="none" w:sz="0" w:space="0" w:color="auto"/>
          </w:divBdr>
          <w:divsChild>
            <w:div w:id="729380315">
              <w:marLeft w:val="0"/>
              <w:marRight w:val="0"/>
              <w:marTop w:val="0"/>
              <w:marBottom w:val="0"/>
              <w:divBdr>
                <w:top w:val="none" w:sz="0" w:space="0" w:color="auto"/>
                <w:left w:val="none" w:sz="0" w:space="0" w:color="auto"/>
                <w:bottom w:val="none" w:sz="0" w:space="0" w:color="auto"/>
                <w:right w:val="none" w:sz="0" w:space="0" w:color="auto"/>
              </w:divBdr>
              <w:divsChild>
                <w:div w:id="895433392">
                  <w:marLeft w:val="0"/>
                  <w:marRight w:val="0"/>
                  <w:marTop w:val="0"/>
                  <w:marBottom w:val="0"/>
                  <w:divBdr>
                    <w:top w:val="none" w:sz="0" w:space="0" w:color="auto"/>
                    <w:left w:val="none" w:sz="0" w:space="0" w:color="auto"/>
                    <w:bottom w:val="none" w:sz="0" w:space="0" w:color="auto"/>
                    <w:right w:val="none" w:sz="0" w:space="0" w:color="auto"/>
                  </w:divBdr>
                  <w:divsChild>
                    <w:div w:id="1048608728">
                      <w:marLeft w:val="0"/>
                      <w:marRight w:val="0"/>
                      <w:marTop w:val="0"/>
                      <w:marBottom w:val="150"/>
                      <w:divBdr>
                        <w:top w:val="single" w:sz="6" w:space="0" w:color="A6CE39"/>
                        <w:left w:val="single" w:sz="6" w:space="0" w:color="A6CE39"/>
                        <w:bottom w:val="single" w:sz="6" w:space="0" w:color="A6CE39"/>
                        <w:right w:val="single" w:sz="6" w:space="0" w:color="A6CE39"/>
                      </w:divBdr>
                      <w:divsChild>
                        <w:div w:id="982007794">
                          <w:marLeft w:val="0"/>
                          <w:marRight w:val="0"/>
                          <w:marTop w:val="0"/>
                          <w:marBottom w:val="0"/>
                          <w:divBdr>
                            <w:top w:val="none" w:sz="0" w:space="0" w:color="auto"/>
                            <w:left w:val="none" w:sz="0" w:space="0" w:color="auto"/>
                            <w:bottom w:val="none" w:sz="0" w:space="0" w:color="auto"/>
                            <w:right w:val="none" w:sz="0" w:space="0" w:color="auto"/>
                          </w:divBdr>
                          <w:divsChild>
                            <w:div w:id="14929910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2135928">
                  <w:marLeft w:val="0"/>
                  <w:marRight w:val="0"/>
                  <w:marTop w:val="90"/>
                  <w:marBottom w:val="90"/>
                  <w:divBdr>
                    <w:top w:val="none" w:sz="0" w:space="0" w:color="auto"/>
                    <w:left w:val="none" w:sz="0" w:space="0" w:color="auto"/>
                    <w:bottom w:val="none" w:sz="0" w:space="0" w:color="auto"/>
                    <w:right w:val="none" w:sz="0" w:space="0" w:color="auto"/>
                  </w:divBdr>
                  <w:divsChild>
                    <w:div w:id="408188253">
                      <w:marLeft w:val="0"/>
                      <w:marRight w:val="0"/>
                      <w:marTop w:val="0"/>
                      <w:marBottom w:val="0"/>
                      <w:divBdr>
                        <w:top w:val="none" w:sz="0" w:space="0" w:color="auto"/>
                        <w:left w:val="none" w:sz="0" w:space="0" w:color="auto"/>
                        <w:bottom w:val="none" w:sz="0" w:space="0" w:color="auto"/>
                        <w:right w:val="none" w:sz="0" w:space="0" w:color="auto"/>
                      </w:divBdr>
                    </w:div>
                  </w:divsChild>
                </w:div>
                <w:div w:id="1227033559">
                  <w:marLeft w:val="0"/>
                  <w:marRight w:val="0"/>
                  <w:marTop w:val="90"/>
                  <w:marBottom w:val="90"/>
                  <w:divBdr>
                    <w:top w:val="none" w:sz="0" w:space="0" w:color="auto"/>
                    <w:left w:val="none" w:sz="0" w:space="0" w:color="auto"/>
                    <w:bottom w:val="none" w:sz="0" w:space="0" w:color="auto"/>
                    <w:right w:val="none" w:sz="0" w:space="0" w:color="auto"/>
                  </w:divBdr>
                  <w:divsChild>
                    <w:div w:id="399139435">
                      <w:marLeft w:val="0"/>
                      <w:marRight w:val="0"/>
                      <w:marTop w:val="0"/>
                      <w:marBottom w:val="0"/>
                      <w:divBdr>
                        <w:top w:val="none" w:sz="0" w:space="0" w:color="auto"/>
                        <w:left w:val="none" w:sz="0" w:space="0" w:color="auto"/>
                        <w:bottom w:val="none" w:sz="0" w:space="0" w:color="auto"/>
                        <w:right w:val="none" w:sz="0" w:space="0" w:color="auto"/>
                      </w:divBdr>
                    </w:div>
                  </w:divsChild>
                </w:div>
                <w:div w:id="977683575">
                  <w:marLeft w:val="0"/>
                  <w:marRight w:val="0"/>
                  <w:marTop w:val="90"/>
                  <w:marBottom w:val="90"/>
                  <w:divBdr>
                    <w:top w:val="none" w:sz="0" w:space="0" w:color="auto"/>
                    <w:left w:val="none" w:sz="0" w:space="0" w:color="auto"/>
                    <w:bottom w:val="none" w:sz="0" w:space="0" w:color="auto"/>
                    <w:right w:val="none" w:sz="0" w:space="0" w:color="auto"/>
                  </w:divBdr>
                </w:div>
                <w:div w:id="1526941065">
                  <w:marLeft w:val="0"/>
                  <w:marRight w:val="0"/>
                  <w:marTop w:val="150"/>
                  <w:marBottom w:val="150"/>
                  <w:divBdr>
                    <w:top w:val="none" w:sz="0" w:space="0" w:color="auto"/>
                    <w:left w:val="none" w:sz="0" w:space="0" w:color="auto"/>
                    <w:bottom w:val="none" w:sz="0" w:space="0" w:color="auto"/>
                    <w:right w:val="none" w:sz="0" w:space="0" w:color="auto"/>
                  </w:divBdr>
                  <w:divsChild>
                    <w:div w:id="311755451">
                      <w:marLeft w:val="0"/>
                      <w:marRight w:val="0"/>
                      <w:marTop w:val="0"/>
                      <w:marBottom w:val="0"/>
                      <w:divBdr>
                        <w:top w:val="none" w:sz="0" w:space="0" w:color="auto"/>
                        <w:left w:val="none" w:sz="0" w:space="0" w:color="auto"/>
                        <w:bottom w:val="none" w:sz="0" w:space="0" w:color="auto"/>
                        <w:right w:val="none" w:sz="0" w:space="0" w:color="auto"/>
                      </w:divBdr>
                      <w:divsChild>
                        <w:div w:id="6435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007">
                  <w:marLeft w:val="0"/>
                  <w:marRight w:val="0"/>
                  <w:marTop w:val="150"/>
                  <w:marBottom w:val="150"/>
                  <w:divBdr>
                    <w:top w:val="none" w:sz="0" w:space="0" w:color="auto"/>
                    <w:left w:val="none" w:sz="0" w:space="0" w:color="auto"/>
                    <w:bottom w:val="none" w:sz="0" w:space="0" w:color="auto"/>
                    <w:right w:val="none" w:sz="0" w:space="0" w:color="auto"/>
                  </w:divBdr>
                  <w:divsChild>
                    <w:div w:id="1507744298">
                      <w:marLeft w:val="0"/>
                      <w:marRight w:val="0"/>
                      <w:marTop w:val="0"/>
                      <w:marBottom w:val="0"/>
                      <w:divBdr>
                        <w:top w:val="none" w:sz="0" w:space="0" w:color="auto"/>
                        <w:left w:val="none" w:sz="0" w:space="0" w:color="auto"/>
                        <w:bottom w:val="none" w:sz="0" w:space="0" w:color="auto"/>
                        <w:right w:val="none" w:sz="0" w:space="0" w:color="auto"/>
                      </w:divBdr>
                      <w:divsChild>
                        <w:div w:id="765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4995">
                  <w:marLeft w:val="0"/>
                  <w:marRight w:val="0"/>
                  <w:marTop w:val="150"/>
                  <w:marBottom w:val="150"/>
                  <w:divBdr>
                    <w:top w:val="none" w:sz="0" w:space="0" w:color="auto"/>
                    <w:left w:val="none" w:sz="0" w:space="0" w:color="auto"/>
                    <w:bottom w:val="none" w:sz="0" w:space="0" w:color="auto"/>
                    <w:right w:val="none" w:sz="0" w:space="0" w:color="auto"/>
                  </w:divBdr>
                  <w:divsChild>
                    <w:div w:id="327826785">
                      <w:marLeft w:val="0"/>
                      <w:marRight w:val="0"/>
                      <w:marTop w:val="0"/>
                      <w:marBottom w:val="0"/>
                      <w:divBdr>
                        <w:top w:val="none" w:sz="0" w:space="0" w:color="auto"/>
                        <w:left w:val="none" w:sz="0" w:space="0" w:color="auto"/>
                        <w:bottom w:val="none" w:sz="0" w:space="0" w:color="auto"/>
                        <w:right w:val="none" w:sz="0" w:space="0" w:color="auto"/>
                      </w:divBdr>
                      <w:divsChild>
                        <w:div w:id="17093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406">
                  <w:marLeft w:val="0"/>
                  <w:marRight w:val="0"/>
                  <w:marTop w:val="150"/>
                  <w:marBottom w:val="150"/>
                  <w:divBdr>
                    <w:top w:val="none" w:sz="0" w:space="0" w:color="auto"/>
                    <w:left w:val="none" w:sz="0" w:space="0" w:color="auto"/>
                    <w:bottom w:val="none" w:sz="0" w:space="0" w:color="auto"/>
                    <w:right w:val="none" w:sz="0" w:space="0" w:color="auto"/>
                  </w:divBdr>
                  <w:divsChild>
                    <w:div w:id="178197990">
                      <w:marLeft w:val="0"/>
                      <w:marRight w:val="0"/>
                      <w:marTop w:val="0"/>
                      <w:marBottom w:val="0"/>
                      <w:divBdr>
                        <w:top w:val="none" w:sz="0" w:space="0" w:color="auto"/>
                        <w:left w:val="none" w:sz="0" w:space="0" w:color="auto"/>
                        <w:bottom w:val="none" w:sz="0" w:space="0" w:color="auto"/>
                        <w:right w:val="none" w:sz="0" w:space="0" w:color="auto"/>
                      </w:divBdr>
                      <w:divsChild>
                        <w:div w:id="9158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8443">
                  <w:marLeft w:val="0"/>
                  <w:marRight w:val="0"/>
                  <w:marTop w:val="150"/>
                  <w:marBottom w:val="150"/>
                  <w:divBdr>
                    <w:top w:val="none" w:sz="0" w:space="0" w:color="auto"/>
                    <w:left w:val="none" w:sz="0" w:space="0" w:color="auto"/>
                    <w:bottom w:val="none" w:sz="0" w:space="0" w:color="auto"/>
                    <w:right w:val="none" w:sz="0" w:space="0" w:color="auto"/>
                  </w:divBdr>
                  <w:divsChild>
                    <w:div w:id="1038121697">
                      <w:marLeft w:val="0"/>
                      <w:marRight w:val="0"/>
                      <w:marTop w:val="0"/>
                      <w:marBottom w:val="0"/>
                      <w:divBdr>
                        <w:top w:val="none" w:sz="0" w:space="0" w:color="auto"/>
                        <w:left w:val="none" w:sz="0" w:space="0" w:color="auto"/>
                        <w:bottom w:val="none" w:sz="0" w:space="0" w:color="auto"/>
                        <w:right w:val="none" w:sz="0" w:space="0" w:color="auto"/>
                      </w:divBdr>
                      <w:divsChild>
                        <w:div w:id="1102073806">
                          <w:marLeft w:val="0"/>
                          <w:marRight w:val="0"/>
                          <w:marTop w:val="0"/>
                          <w:marBottom w:val="0"/>
                          <w:divBdr>
                            <w:top w:val="none" w:sz="0" w:space="0" w:color="auto"/>
                            <w:left w:val="none" w:sz="0" w:space="0" w:color="auto"/>
                            <w:bottom w:val="none" w:sz="0" w:space="0" w:color="auto"/>
                            <w:right w:val="none" w:sz="0" w:space="0" w:color="auto"/>
                          </w:divBdr>
                        </w:div>
                      </w:divsChild>
                    </w:div>
                    <w:div w:id="37095250">
                      <w:marLeft w:val="0"/>
                      <w:marRight w:val="0"/>
                      <w:marTop w:val="0"/>
                      <w:marBottom w:val="0"/>
                      <w:divBdr>
                        <w:top w:val="none" w:sz="0" w:space="0" w:color="auto"/>
                        <w:left w:val="none" w:sz="0" w:space="0" w:color="auto"/>
                        <w:bottom w:val="none" w:sz="0" w:space="0" w:color="auto"/>
                        <w:right w:val="none" w:sz="0" w:space="0" w:color="auto"/>
                      </w:divBdr>
                      <w:divsChild>
                        <w:div w:id="986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609">
                  <w:marLeft w:val="0"/>
                  <w:marRight w:val="0"/>
                  <w:marTop w:val="150"/>
                  <w:marBottom w:val="150"/>
                  <w:divBdr>
                    <w:top w:val="none" w:sz="0" w:space="0" w:color="auto"/>
                    <w:left w:val="none" w:sz="0" w:space="0" w:color="auto"/>
                    <w:bottom w:val="none" w:sz="0" w:space="0" w:color="auto"/>
                    <w:right w:val="none" w:sz="0" w:space="0" w:color="auto"/>
                  </w:divBdr>
                  <w:divsChild>
                    <w:div w:id="651565085">
                      <w:marLeft w:val="0"/>
                      <w:marRight w:val="0"/>
                      <w:marTop w:val="0"/>
                      <w:marBottom w:val="0"/>
                      <w:divBdr>
                        <w:top w:val="none" w:sz="0" w:space="0" w:color="auto"/>
                        <w:left w:val="none" w:sz="0" w:space="0" w:color="auto"/>
                        <w:bottom w:val="none" w:sz="0" w:space="0" w:color="auto"/>
                        <w:right w:val="none" w:sz="0" w:space="0" w:color="auto"/>
                      </w:divBdr>
                      <w:divsChild>
                        <w:div w:id="21127846">
                          <w:marLeft w:val="0"/>
                          <w:marRight w:val="0"/>
                          <w:marTop w:val="0"/>
                          <w:marBottom w:val="0"/>
                          <w:divBdr>
                            <w:top w:val="none" w:sz="0" w:space="0" w:color="auto"/>
                            <w:left w:val="none" w:sz="0" w:space="0" w:color="auto"/>
                            <w:bottom w:val="none" w:sz="0" w:space="0" w:color="auto"/>
                            <w:right w:val="none" w:sz="0" w:space="0" w:color="auto"/>
                          </w:divBdr>
                        </w:div>
                      </w:divsChild>
                    </w:div>
                    <w:div w:id="181481604">
                      <w:marLeft w:val="0"/>
                      <w:marRight w:val="0"/>
                      <w:marTop w:val="0"/>
                      <w:marBottom w:val="0"/>
                      <w:divBdr>
                        <w:top w:val="none" w:sz="0" w:space="0" w:color="auto"/>
                        <w:left w:val="none" w:sz="0" w:space="0" w:color="auto"/>
                        <w:bottom w:val="none" w:sz="0" w:space="0" w:color="auto"/>
                        <w:right w:val="none" w:sz="0" w:space="0" w:color="auto"/>
                      </w:divBdr>
                      <w:divsChild>
                        <w:div w:id="496001167">
                          <w:marLeft w:val="0"/>
                          <w:marRight w:val="0"/>
                          <w:marTop w:val="0"/>
                          <w:marBottom w:val="75"/>
                          <w:divBdr>
                            <w:top w:val="none" w:sz="0" w:space="0" w:color="auto"/>
                            <w:left w:val="none" w:sz="0" w:space="0" w:color="auto"/>
                            <w:bottom w:val="none" w:sz="0" w:space="0" w:color="auto"/>
                            <w:right w:val="none" w:sz="0" w:space="0" w:color="auto"/>
                          </w:divBdr>
                        </w:div>
                        <w:div w:id="2004580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58659746">
      <w:bodyDiv w:val="1"/>
      <w:marLeft w:val="0"/>
      <w:marRight w:val="0"/>
      <w:marTop w:val="0"/>
      <w:marBottom w:val="0"/>
      <w:divBdr>
        <w:top w:val="none" w:sz="0" w:space="0" w:color="auto"/>
        <w:left w:val="none" w:sz="0" w:space="0" w:color="auto"/>
        <w:bottom w:val="none" w:sz="0" w:space="0" w:color="auto"/>
        <w:right w:val="none" w:sz="0" w:space="0" w:color="auto"/>
      </w:divBdr>
      <w:divsChild>
        <w:div w:id="1806387623">
          <w:marLeft w:val="480"/>
          <w:marRight w:val="0"/>
          <w:marTop w:val="0"/>
          <w:marBottom w:val="0"/>
          <w:divBdr>
            <w:top w:val="none" w:sz="0" w:space="0" w:color="auto"/>
            <w:left w:val="none" w:sz="0" w:space="0" w:color="auto"/>
            <w:bottom w:val="none" w:sz="0" w:space="0" w:color="auto"/>
            <w:right w:val="none" w:sz="0" w:space="0" w:color="auto"/>
          </w:divBdr>
          <w:divsChild>
            <w:div w:id="9584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191">
      <w:bodyDiv w:val="1"/>
      <w:marLeft w:val="0"/>
      <w:marRight w:val="0"/>
      <w:marTop w:val="0"/>
      <w:marBottom w:val="0"/>
      <w:divBdr>
        <w:top w:val="none" w:sz="0" w:space="0" w:color="auto"/>
        <w:left w:val="none" w:sz="0" w:space="0" w:color="auto"/>
        <w:bottom w:val="none" w:sz="0" w:space="0" w:color="auto"/>
        <w:right w:val="none" w:sz="0" w:space="0" w:color="auto"/>
      </w:divBdr>
      <w:divsChild>
        <w:div w:id="1868519373">
          <w:marLeft w:val="480"/>
          <w:marRight w:val="0"/>
          <w:marTop w:val="0"/>
          <w:marBottom w:val="0"/>
          <w:divBdr>
            <w:top w:val="none" w:sz="0" w:space="0" w:color="auto"/>
            <w:left w:val="none" w:sz="0" w:space="0" w:color="auto"/>
            <w:bottom w:val="none" w:sz="0" w:space="0" w:color="auto"/>
            <w:right w:val="none" w:sz="0" w:space="0" w:color="auto"/>
          </w:divBdr>
          <w:divsChild>
            <w:div w:id="1097483533">
              <w:marLeft w:val="0"/>
              <w:marRight w:val="0"/>
              <w:marTop w:val="0"/>
              <w:marBottom w:val="0"/>
              <w:divBdr>
                <w:top w:val="none" w:sz="0" w:space="0" w:color="auto"/>
                <w:left w:val="none" w:sz="0" w:space="0" w:color="auto"/>
                <w:bottom w:val="none" w:sz="0" w:space="0" w:color="auto"/>
                <w:right w:val="none" w:sz="0" w:space="0" w:color="auto"/>
              </w:divBdr>
            </w:div>
            <w:div w:id="3508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9BBC-799D-4488-A843-EC8F4D03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49262</Words>
  <Characters>280794</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Shulver (HDR)</dc:creator>
  <cp:keywords/>
  <dc:description/>
  <cp:lastModifiedBy>Kurt Shulver</cp:lastModifiedBy>
  <cp:revision>3</cp:revision>
  <dcterms:created xsi:type="dcterms:W3CDTF">2020-08-10T06:18:00Z</dcterms:created>
  <dcterms:modified xsi:type="dcterms:W3CDTF">2020-09-10T05:48:00Z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id="fEVmXEQT"/&gt;&lt;style id="http://www.zotero.org/styles/apa" locale="en-US" hasBibliography="1" bibliographyStyleHasBeenSet="1"/&gt;&lt;prefs&gt;&lt;pref name="fieldType" value="Field"/&gt;&lt;/prefs&gt;&lt;/data&gt;</vt:lpwstr>
  </property>
</Properties>
</file>