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DEEF2" w14:textId="77777777" w:rsidR="00F3593D" w:rsidRDefault="00F3593D" w:rsidP="00F3593D">
      <w:pPr>
        <w:autoSpaceDE w:val="0"/>
        <w:autoSpaceDN w:val="0"/>
        <w:adjustRightInd w:val="0"/>
        <w:spacing w:line="360" w:lineRule="auto"/>
        <w:jc w:val="center"/>
        <w:outlineLvl w:val="0"/>
        <w:rPr>
          <w:rFonts w:eastAsiaTheme="minorEastAsia"/>
          <w:b/>
          <w:bCs/>
          <w:sz w:val="28"/>
          <w:szCs w:val="28"/>
        </w:rPr>
      </w:pPr>
    </w:p>
    <w:p w14:paraId="5AA6B274" w14:textId="77777777" w:rsidR="00F3593D" w:rsidRDefault="00F3593D" w:rsidP="00F3593D">
      <w:pPr>
        <w:autoSpaceDE w:val="0"/>
        <w:autoSpaceDN w:val="0"/>
        <w:adjustRightInd w:val="0"/>
        <w:spacing w:line="360" w:lineRule="auto"/>
        <w:jc w:val="center"/>
        <w:outlineLvl w:val="0"/>
        <w:rPr>
          <w:rFonts w:eastAsiaTheme="minorEastAsia"/>
          <w:b/>
          <w:bCs/>
          <w:sz w:val="28"/>
          <w:szCs w:val="28"/>
        </w:rPr>
      </w:pPr>
    </w:p>
    <w:p w14:paraId="59170786" w14:textId="77777777" w:rsidR="00F3593D" w:rsidRDefault="00F3593D" w:rsidP="00F3593D">
      <w:pPr>
        <w:autoSpaceDE w:val="0"/>
        <w:autoSpaceDN w:val="0"/>
        <w:adjustRightInd w:val="0"/>
        <w:spacing w:line="360" w:lineRule="auto"/>
        <w:jc w:val="center"/>
        <w:outlineLvl w:val="0"/>
        <w:rPr>
          <w:rFonts w:eastAsiaTheme="minorEastAsia"/>
          <w:b/>
          <w:bCs/>
          <w:sz w:val="28"/>
          <w:szCs w:val="28"/>
        </w:rPr>
      </w:pPr>
    </w:p>
    <w:p w14:paraId="101C4668" w14:textId="77777777" w:rsidR="00F3593D" w:rsidRDefault="00F3593D" w:rsidP="00F3593D">
      <w:pPr>
        <w:autoSpaceDE w:val="0"/>
        <w:autoSpaceDN w:val="0"/>
        <w:adjustRightInd w:val="0"/>
        <w:spacing w:line="360" w:lineRule="auto"/>
        <w:jc w:val="center"/>
        <w:outlineLvl w:val="0"/>
        <w:rPr>
          <w:rFonts w:eastAsiaTheme="minorEastAsia"/>
          <w:b/>
          <w:bCs/>
          <w:sz w:val="28"/>
          <w:szCs w:val="28"/>
        </w:rPr>
      </w:pPr>
    </w:p>
    <w:p w14:paraId="5C945273" w14:textId="664C1707" w:rsidR="00F3593D" w:rsidRPr="007A6CA4" w:rsidRDefault="00F3593D" w:rsidP="00F3593D">
      <w:pPr>
        <w:autoSpaceDE w:val="0"/>
        <w:autoSpaceDN w:val="0"/>
        <w:adjustRightInd w:val="0"/>
        <w:spacing w:line="360" w:lineRule="auto"/>
        <w:jc w:val="center"/>
        <w:outlineLvl w:val="0"/>
        <w:rPr>
          <w:rFonts w:eastAsiaTheme="minorEastAsia"/>
          <w:b/>
          <w:bCs/>
          <w:sz w:val="28"/>
          <w:szCs w:val="28"/>
        </w:rPr>
      </w:pPr>
      <w:r w:rsidRPr="007A6CA4">
        <w:rPr>
          <w:rFonts w:eastAsiaTheme="minorEastAsia"/>
          <w:b/>
          <w:bCs/>
          <w:sz w:val="28"/>
          <w:szCs w:val="28"/>
        </w:rPr>
        <w:t>Social reward, punishment and prosociality in paranoia</w:t>
      </w:r>
    </w:p>
    <w:p w14:paraId="071269C6" w14:textId="77777777" w:rsidR="00F3593D" w:rsidRDefault="00F3593D" w:rsidP="00F3593D">
      <w:pPr>
        <w:autoSpaceDE w:val="0"/>
        <w:autoSpaceDN w:val="0"/>
        <w:adjustRightInd w:val="0"/>
        <w:spacing w:line="360" w:lineRule="auto"/>
        <w:jc w:val="center"/>
        <w:outlineLvl w:val="0"/>
        <w:rPr>
          <w:rFonts w:eastAsiaTheme="minorEastAsia"/>
          <w:b/>
          <w:bCs/>
          <w:u w:val="single"/>
        </w:rPr>
      </w:pPr>
    </w:p>
    <w:p w14:paraId="3F07B99D" w14:textId="7602BF95" w:rsidR="00F3593D" w:rsidRDefault="00F3593D" w:rsidP="00F3593D">
      <w:pPr>
        <w:autoSpaceDE w:val="0"/>
        <w:autoSpaceDN w:val="0"/>
        <w:adjustRightInd w:val="0"/>
        <w:spacing w:line="360" w:lineRule="auto"/>
        <w:jc w:val="center"/>
        <w:outlineLvl w:val="0"/>
        <w:rPr>
          <w:rFonts w:eastAsiaTheme="minorEastAsia"/>
          <w:bCs/>
        </w:rPr>
      </w:pPr>
      <w:r>
        <w:rPr>
          <w:rFonts w:eastAsiaTheme="minorEastAsia"/>
          <w:bCs/>
        </w:rPr>
        <w:t xml:space="preserve">Nichola </w:t>
      </w:r>
      <w:proofErr w:type="spellStart"/>
      <w:r w:rsidRPr="00D75C9F">
        <w:rPr>
          <w:rFonts w:eastAsiaTheme="minorEastAsia"/>
          <w:bCs/>
        </w:rPr>
        <w:t>Raihani</w:t>
      </w:r>
      <w:r>
        <w:rPr>
          <w:rFonts w:eastAsiaTheme="minorEastAsia"/>
          <w:bCs/>
          <w:vertAlign w:val="superscript"/>
        </w:rPr>
        <w:t>a</w:t>
      </w:r>
      <w:proofErr w:type="spellEnd"/>
      <w:r>
        <w:rPr>
          <w:rStyle w:val="FootnoteReference"/>
          <w:rFonts w:eastAsiaTheme="minorEastAsia"/>
          <w:bCs/>
        </w:rPr>
        <w:footnoteReference w:id="1"/>
      </w:r>
      <w:r w:rsidRPr="00D75C9F">
        <w:rPr>
          <w:rFonts w:eastAsiaTheme="minorEastAsia"/>
          <w:bCs/>
        </w:rPr>
        <w:t>,</w:t>
      </w:r>
      <w:r>
        <w:rPr>
          <w:rFonts w:eastAsiaTheme="minorEastAsia"/>
          <w:bCs/>
        </w:rPr>
        <w:t xml:space="preserve"> Daniel </w:t>
      </w:r>
      <w:r w:rsidRPr="00D75C9F">
        <w:rPr>
          <w:rFonts w:eastAsiaTheme="minorEastAsia"/>
          <w:bCs/>
        </w:rPr>
        <w:t>Martinez-</w:t>
      </w:r>
      <w:proofErr w:type="spellStart"/>
      <w:r w:rsidRPr="00D75C9F">
        <w:rPr>
          <w:rFonts w:eastAsiaTheme="minorEastAsia"/>
          <w:bCs/>
        </w:rPr>
        <w:t>Gatell</w:t>
      </w:r>
      <w:r>
        <w:rPr>
          <w:rFonts w:eastAsiaTheme="minorEastAsia"/>
          <w:bCs/>
          <w:vertAlign w:val="superscript"/>
        </w:rPr>
        <w:t>a</w:t>
      </w:r>
      <w:proofErr w:type="spellEnd"/>
      <w:r>
        <w:rPr>
          <w:rFonts w:eastAsiaTheme="minorEastAsia"/>
          <w:bCs/>
        </w:rPr>
        <w:t xml:space="preserve">, Vaughan </w:t>
      </w:r>
      <w:proofErr w:type="spellStart"/>
      <w:r>
        <w:rPr>
          <w:rFonts w:eastAsiaTheme="minorEastAsia"/>
          <w:bCs/>
        </w:rPr>
        <w:t>Bell</w:t>
      </w:r>
      <w:r>
        <w:rPr>
          <w:rFonts w:eastAsiaTheme="minorEastAsia"/>
          <w:bCs/>
          <w:vertAlign w:val="superscript"/>
        </w:rPr>
        <w:t>b</w:t>
      </w:r>
      <w:proofErr w:type="spellEnd"/>
      <w:r>
        <w:rPr>
          <w:rFonts w:eastAsiaTheme="minorEastAsia"/>
          <w:bCs/>
        </w:rPr>
        <w:t xml:space="preserve"> &amp; Lucy</w:t>
      </w:r>
      <w:r w:rsidRPr="00D75C9F">
        <w:rPr>
          <w:rFonts w:eastAsiaTheme="minorEastAsia"/>
          <w:bCs/>
        </w:rPr>
        <w:t xml:space="preserve"> </w:t>
      </w:r>
      <w:proofErr w:type="spellStart"/>
      <w:r w:rsidRPr="00D75C9F">
        <w:rPr>
          <w:rFonts w:eastAsiaTheme="minorEastAsia"/>
          <w:bCs/>
        </w:rPr>
        <w:t>Foulkes</w:t>
      </w:r>
      <w:r w:rsidR="00F1726A" w:rsidRPr="005F025D">
        <w:rPr>
          <w:rFonts w:eastAsiaTheme="minorEastAsia"/>
          <w:bCs/>
          <w:vertAlign w:val="superscript"/>
        </w:rPr>
        <w:t>c</w:t>
      </w:r>
      <w:proofErr w:type="spellEnd"/>
    </w:p>
    <w:p w14:paraId="6965227C" w14:textId="77777777" w:rsidR="00F3593D" w:rsidRDefault="00F3593D" w:rsidP="00F3593D">
      <w:pPr>
        <w:autoSpaceDE w:val="0"/>
        <w:autoSpaceDN w:val="0"/>
        <w:adjustRightInd w:val="0"/>
        <w:spacing w:line="360" w:lineRule="auto"/>
        <w:jc w:val="center"/>
        <w:outlineLvl w:val="0"/>
        <w:rPr>
          <w:rFonts w:eastAsiaTheme="minorEastAsia"/>
          <w:bCs/>
        </w:rPr>
      </w:pPr>
    </w:p>
    <w:p w14:paraId="08007842" w14:textId="77777777" w:rsidR="00F3593D" w:rsidRDefault="00F3593D" w:rsidP="00F3593D">
      <w:pPr>
        <w:autoSpaceDE w:val="0"/>
        <w:autoSpaceDN w:val="0"/>
        <w:adjustRightInd w:val="0"/>
        <w:spacing w:line="360" w:lineRule="auto"/>
        <w:jc w:val="center"/>
        <w:outlineLvl w:val="0"/>
        <w:rPr>
          <w:rFonts w:eastAsiaTheme="minorEastAsia"/>
          <w:bCs/>
        </w:rPr>
      </w:pPr>
    </w:p>
    <w:p w14:paraId="4237C25B" w14:textId="77777777" w:rsidR="00F3593D" w:rsidRDefault="00F3593D" w:rsidP="00F3593D">
      <w:pPr>
        <w:rPr>
          <w:rFonts w:eastAsiaTheme="minorEastAsia"/>
          <w:bCs/>
        </w:rPr>
      </w:pPr>
      <w:r>
        <w:rPr>
          <w:rFonts w:eastAsiaTheme="minorEastAsia"/>
          <w:bCs/>
        </w:rPr>
        <w:t>a. Department of Experimental Psychology, University College London, 26 Bedford Way, London, UK. WC1H 0AP</w:t>
      </w:r>
    </w:p>
    <w:p w14:paraId="70280295" w14:textId="77777777" w:rsidR="00F3593D" w:rsidRDefault="00F3593D" w:rsidP="00F3593D">
      <w:pPr>
        <w:rPr>
          <w:rFonts w:eastAsiaTheme="minorEastAsia"/>
          <w:bCs/>
        </w:rPr>
      </w:pPr>
    </w:p>
    <w:p w14:paraId="49F8130D" w14:textId="77777777" w:rsidR="00F3593D" w:rsidRPr="007A6CA4" w:rsidRDefault="00F3593D" w:rsidP="00F3593D">
      <w:pPr>
        <w:rPr>
          <w:rFonts w:eastAsiaTheme="minorEastAsia"/>
          <w:bCs/>
        </w:rPr>
      </w:pPr>
      <w:r>
        <w:rPr>
          <w:rFonts w:eastAsiaTheme="minorEastAsia"/>
          <w:bCs/>
        </w:rPr>
        <w:t>b. Department of Clinical, Educational and Health Psychology, University College London, 1-19 Torrington Place, London, UK. WC1E 7HB.</w:t>
      </w:r>
    </w:p>
    <w:p w14:paraId="4CFFBC8D" w14:textId="77777777" w:rsidR="00F3593D" w:rsidRDefault="00F3593D" w:rsidP="00F3593D">
      <w:pPr>
        <w:rPr>
          <w:rFonts w:eastAsiaTheme="minorEastAsia"/>
          <w:bCs/>
        </w:rPr>
      </w:pPr>
    </w:p>
    <w:p w14:paraId="76874422" w14:textId="77777777" w:rsidR="00F3593D" w:rsidRDefault="00F3593D" w:rsidP="00F3593D">
      <w:pPr>
        <w:rPr>
          <w:rFonts w:eastAsiaTheme="minorEastAsia"/>
          <w:bCs/>
        </w:rPr>
      </w:pPr>
      <w:r>
        <w:rPr>
          <w:rFonts w:eastAsiaTheme="minorEastAsia"/>
          <w:bCs/>
        </w:rPr>
        <w:t>c. Department of Education, University of York, York, UK. YO10 5DD</w:t>
      </w:r>
    </w:p>
    <w:p w14:paraId="1E884F89" w14:textId="77777777" w:rsidR="007224AD" w:rsidRDefault="007224AD" w:rsidP="00F3593D">
      <w:pPr>
        <w:rPr>
          <w:rFonts w:eastAsiaTheme="minorEastAsia"/>
          <w:bCs/>
        </w:rPr>
      </w:pPr>
    </w:p>
    <w:p w14:paraId="2BA8D564" w14:textId="77777777" w:rsidR="007224AD" w:rsidRDefault="007224AD" w:rsidP="00F3593D">
      <w:pPr>
        <w:rPr>
          <w:rFonts w:eastAsiaTheme="minorEastAsia"/>
          <w:bCs/>
        </w:rPr>
      </w:pPr>
    </w:p>
    <w:p w14:paraId="68F255E3" w14:textId="08F2C330" w:rsidR="007224AD" w:rsidRDefault="007224AD" w:rsidP="00F3593D">
      <w:pPr>
        <w:rPr>
          <w:rFonts w:eastAsiaTheme="minorEastAsia"/>
          <w:bCs/>
        </w:rPr>
        <w:sectPr w:rsidR="007224AD" w:rsidSect="00724C3E">
          <w:footerReference w:type="default" r:id="rId7"/>
          <w:footnotePr>
            <w:numFmt w:val="chicago"/>
          </w:footnotePr>
          <w:pgSz w:w="11900" w:h="16840"/>
          <w:pgMar w:top="1440" w:right="1440" w:bottom="1440" w:left="1440" w:header="708" w:footer="708" w:gutter="0"/>
          <w:lnNumType w:countBy="1" w:restart="continuous"/>
          <w:cols w:space="708"/>
          <w:docGrid w:linePitch="360"/>
        </w:sectPr>
      </w:pPr>
      <w:r>
        <w:rPr>
          <w:rFonts w:eastAsiaTheme="minorEastAsia"/>
          <w:bCs/>
        </w:rPr>
        <w:t xml:space="preserve">Author note: </w:t>
      </w:r>
      <w:r>
        <w:t xml:space="preserve">Nichola </w:t>
      </w:r>
      <w:proofErr w:type="spellStart"/>
      <w:r>
        <w:t>Raihani</w:t>
      </w:r>
      <w:proofErr w:type="spellEnd"/>
      <w:r>
        <w:t xml:space="preserve"> is supported by a Royal Society University Research Fellowship and the Leverhulme Trust. Vaughan Bell is supported by a </w:t>
      </w:r>
      <w:proofErr w:type="spellStart"/>
      <w:r>
        <w:t>Wellcome</w:t>
      </w:r>
      <w:proofErr w:type="spellEnd"/>
      <w:r>
        <w:t xml:space="preserve"> Trust Seed Award [200589/Z/16/Z].</w:t>
      </w:r>
    </w:p>
    <w:p w14:paraId="33D5D722" w14:textId="77777777" w:rsidR="00F3593D" w:rsidRDefault="00F3593D" w:rsidP="00F3593D">
      <w:pPr>
        <w:rPr>
          <w:rFonts w:eastAsiaTheme="minorEastAsia"/>
          <w:bCs/>
        </w:rPr>
        <w:sectPr w:rsidR="00F3593D" w:rsidSect="00B00CC2">
          <w:footnotePr>
            <w:numFmt w:val="chicago"/>
          </w:footnotePr>
          <w:type w:val="continuous"/>
          <w:pgSz w:w="11900" w:h="16840"/>
          <w:pgMar w:top="1440" w:right="1440" w:bottom="1440" w:left="1440" w:header="708" w:footer="708" w:gutter="0"/>
          <w:lnNumType w:countBy="1" w:restart="continuous"/>
          <w:cols w:space="708"/>
          <w:docGrid w:linePitch="360"/>
        </w:sectPr>
      </w:pPr>
    </w:p>
    <w:p w14:paraId="10D88970" w14:textId="77777777" w:rsidR="00AF0AEF" w:rsidRDefault="00AF0AEF" w:rsidP="00164E47">
      <w:pPr>
        <w:autoSpaceDE w:val="0"/>
        <w:autoSpaceDN w:val="0"/>
        <w:adjustRightInd w:val="0"/>
        <w:spacing w:line="360" w:lineRule="auto"/>
        <w:jc w:val="both"/>
        <w:outlineLvl w:val="0"/>
        <w:rPr>
          <w:rFonts w:eastAsiaTheme="minorEastAsia"/>
          <w:b/>
          <w:bCs/>
          <w:u w:val="single"/>
        </w:rPr>
      </w:pPr>
    </w:p>
    <w:p w14:paraId="5E1D510C" w14:textId="77777777" w:rsidR="00AF0AEF" w:rsidRPr="006B1E05" w:rsidRDefault="00AF0AEF" w:rsidP="00164E47">
      <w:pPr>
        <w:autoSpaceDE w:val="0"/>
        <w:autoSpaceDN w:val="0"/>
        <w:adjustRightInd w:val="0"/>
        <w:spacing w:line="360" w:lineRule="auto"/>
        <w:jc w:val="both"/>
        <w:outlineLvl w:val="0"/>
        <w:rPr>
          <w:rFonts w:eastAsiaTheme="minorEastAsia"/>
          <w:b/>
          <w:bCs/>
        </w:rPr>
      </w:pPr>
      <w:r w:rsidRPr="006B1E05">
        <w:rPr>
          <w:rFonts w:eastAsiaTheme="minorEastAsia"/>
          <w:b/>
          <w:bCs/>
        </w:rPr>
        <w:t>Abstract</w:t>
      </w:r>
    </w:p>
    <w:p w14:paraId="25BB1E84" w14:textId="77777777" w:rsidR="00AF0AEF" w:rsidRPr="005D3101" w:rsidRDefault="00AF0AEF" w:rsidP="00164E47">
      <w:pPr>
        <w:autoSpaceDE w:val="0"/>
        <w:autoSpaceDN w:val="0"/>
        <w:adjustRightInd w:val="0"/>
        <w:spacing w:line="360" w:lineRule="auto"/>
        <w:jc w:val="both"/>
        <w:outlineLvl w:val="0"/>
        <w:rPr>
          <w:rFonts w:eastAsiaTheme="minorEastAsia"/>
          <w:b/>
          <w:bCs/>
          <w:u w:val="single"/>
        </w:rPr>
      </w:pPr>
    </w:p>
    <w:p w14:paraId="3890FA23" w14:textId="251AD0DF" w:rsidR="00F3593D" w:rsidRPr="00203879" w:rsidRDefault="00F3593D" w:rsidP="00F3593D">
      <w:pPr>
        <w:autoSpaceDE w:val="0"/>
        <w:autoSpaceDN w:val="0"/>
        <w:adjustRightInd w:val="0"/>
        <w:spacing w:line="360" w:lineRule="auto"/>
        <w:jc w:val="both"/>
        <w:rPr>
          <w:rFonts w:eastAsiaTheme="minorEastAsia"/>
          <w:color w:val="000000" w:themeColor="text1"/>
        </w:rPr>
      </w:pPr>
      <w:r w:rsidRPr="00203879">
        <w:rPr>
          <w:rFonts w:eastAsiaTheme="minorEastAsia"/>
          <w:color w:val="000000" w:themeColor="text1"/>
        </w:rPr>
        <w:t>Paranoia is the</w:t>
      </w:r>
      <w:r w:rsidR="0051575D" w:rsidRPr="00203879">
        <w:rPr>
          <w:rFonts w:eastAsiaTheme="minorEastAsia"/>
          <w:color w:val="000000" w:themeColor="text1"/>
        </w:rPr>
        <w:t xml:space="preserve"> exaggerated</w:t>
      </w:r>
      <w:r w:rsidRPr="00203879">
        <w:rPr>
          <w:rFonts w:eastAsiaTheme="minorEastAsia"/>
          <w:color w:val="000000" w:themeColor="text1"/>
        </w:rPr>
        <w:t xml:space="preserve"> belief that harm will occur and is intended by others. Although commonly framed in terms of attributing malicious intent to others, recent work has explored how paranoia also affects social </w:t>
      </w:r>
      <w:r w:rsidR="00AD0554" w:rsidRPr="00203879">
        <w:rPr>
          <w:rFonts w:eastAsiaTheme="minorEastAsia"/>
          <w:color w:val="000000" w:themeColor="text1"/>
        </w:rPr>
        <w:t>decision-making</w:t>
      </w:r>
      <w:r w:rsidRPr="00203879">
        <w:rPr>
          <w:rFonts w:eastAsiaTheme="minorEastAsia"/>
          <w:color w:val="000000" w:themeColor="text1"/>
        </w:rPr>
        <w:t xml:space="preserve">, using economic games. Previous work found that paranoia is associated with decreased cooperation and increased punishment in the Dictator Game (where cooperating and punishing involve paying a cost to respectively increase or decrease a partner’s income). These findings suggest that paranoia might be associated with variation in subjective reward from positive and/or negative social </w:t>
      </w:r>
      <w:r w:rsidR="00AD0554" w:rsidRPr="00203879">
        <w:rPr>
          <w:rFonts w:eastAsiaTheme="minorEastAsia"/>
          <w:color w:val="000000" w:themeColor="text1"/>
        </w:rPr>
        <w:t>decision-making</w:t>
      </w:r>
      <w:r w:rsidRPr="00203879">
        <w:rPr>
          <w:rFonts w:eastAsiaTheme="minorEastAsia"/>
          <w:color w:val="000000" w:themeColor="text1"/>
        </w:rPr>
        <w:t>; a possibility we explore using a pre-registered experiment with US-based participants (</w:t>
      </w:r>
      <w:r w:rsidRPr="00203879">
        <w:rPr>
          <w:rFonts w:eastAsiaTheme="minorEastAsia"/>
          <w:i/>
          <w:color w:val="000000" w:themeColor="text1"/>
        </w:rPr>
        <w:t>n</w:t>
      </w:r>
      <w:r w:rsidRPr="00203879">
        <w:rPr>
          <w:rFonts w:eastAsiaTheme="minorEastAsia"/>
          <w:color w:val="000000" w:themeColor="text1"/>
        </w:rPr>
        <w:t xml:space="preserve">=2,004). Paranoia was associated with increased self-reported enjoyment of negative social interactions and decreased self-reported enjoyment of prosocial interactions. More paranoid participants attributed stronger harmful intent to a partner. Harmful intent attributions and the enjoyment of negative social interactions positively predicted the tendency to pay to punish the partner. Cooperation was positively associated with the tendency to enjoy prosocial interactions, and increased with participant age. There was no main effect of paranoia on tendency to cooperate in this setting. We discuss these findings in light of previous research. </w:t>
      </w:r>
    </w:p>
    <w:p w14:paraId="2CD8DCC5" w14:textId="77777777" w:rsidR="00F3593D" w:rsidRDefault="00F3593D" w:rsidP="00F3593D">
      <w:pPr>
        <w:autoSpaceDE w:val="0"/>
        <w:autoSpaceDN w:val="0"/>
        <w:adjustRightInd w:val="0"/>
        <w:spacing w:line="360" w:lineRule="auto"/>
        <w:jc w:val="both"/>
        <w:outlineLvl w:val="0"/>
        <w:rPr>
          <w:rFonts w:eastAsiaTheme="minorEastAsia"/>
          <w:b/>
          <w:bCs/>
          <w:u w:val="single"/>
        </w:rPr>
      </w:pPr>
    </w:p>
    <w:p w14:paraId="7078BC68" w14:textId="169A330E" w:rsidR="00AF0AEF" w:rsidRPr="00F3593D" w:rsidRDefault="00F3593D" w:rsidP="00F3593D">
      <w:pPr>
        <w:autoSpaceDE w:val="0"/>
        <w:autoSpaceDN w:val="0"/>
        <w:adjustRightInd w:val="0"/>
        <w:spacing w:line="360" w:lineRule="auto"/>
        <w:jc w:val="both"/>
        <w:outlineLvl w:val="0"/>
        <w:rPr>
          <w:rFonts w:eastAsiaTheme="minorEastAsia"/>
          <w:bCs/>
          <w:u w:val="single"/>
        </w:rPr>
      </w:pPr>
      <w:r>
        <w:rPr>
          <w:rFonts w:eastAsiaTheme="minorEastAsia"/>
          <w:b/>
          <w:bCs/>
        </w:rPr>
        <w:t>Keywords:</w:t>
      </w:r>
      <w:r w:rsidRPr="00376F31">
        <w:rPr>
          <w:rFonts w:eastAsiaTheme="minorEastAsia"/>
          <w:bCs/>
        </w:rPr>
        <w:t xml:space="preserve"> cooperation, paranoia, punishment, prosoc</w:t>
      </w:r>
      <w:r w:rsidRPr="00F3593D">
        <w:rPr>
          <w:rFonts w:eastAsiaTheme="minorEastAsia"/>
          <w:bCs/>
        </w:rPr>
        <w:t>ial, economic games</w:t>
      </w:r>
    </w:p>
    <w:p w14:paraId="46304AB0" w14:textId="77777777" w:rsidR="00D55A5A" w:rsidRDefault="00D55A5A">
      <w:pPr>
        <w:rPr>
          <w:rFonts w:eastAsiaTheme="minorEastAsia"/>
          <w:b/>
          <w:bCs/>
        </w:rPr>
      </w:pPr>
    </w:p>
    <w:p w14:paraId="16EBA4D3" w14:textId="77777777" w:rsidR="00D55A5A" w:rsidRDefault="00D55A5A">
      <w:pPr>
        <w:rPr>
          <w:rFonts w:eastAsiaTheme="minorEastAsia"/>
          <w:b/>
          <w:bCs/>
        </w:rPr>
      </w:pPr>
      <w:r w:rsidRPr="00D55A5A">
        <w:rPr>
          <w:rFonts w:eastAsiaTheme="minorEastAsia"/>
          <w:b/>
          <w:bCs/>
        </w:rPr>
        <w:t>General Scientific Summary</w:t>
      </w:r>
    </w:p>
    <w:p w14:paraId="4D54AB3D" w14:textId="77777777" w:rsidR="00D55A5A" w:rsidRDefault="00D55A5A">
      <w:pPr>
        <w:rPr>
          <w:rFonts w:eastAsiaTheme="minorEastAsia"/>
          <w:b/>
          <w:bCs/>
        </w:rPr>
      </w:pPr>
    </w:p>
    <w:p w14:paraId="39428549" w14:textId="79556F11" w:rsidR="00D55A5A" w:rsidRDefault="00D55A5A">
      <w:pPr>
        <w:rPr>
          <w:rFonts w:eastAsiaTheme="minorEastAsia"/>
          <w:bCs/>
        </w:rPr>
      </w:pPr>
      <w:r>
        <w:rPr>
          <w:rFonts w:eastAsiaTheme="minorEastAsia"/>
          <w:bCs/>
        </w:rPr>
        <w:t xml:space="preserve">This study shows that paranoia is associated with alterations to the differential self-reported enjoyment from engaging in different kinds of social interaction. Specifically, more paranoid individuals reported enjoying positive prosocial interactions less and enjoying negative social interactions more. These alterations can help to explain variation in social behaviour in controlled experimental settings. </w:t>
      </w:r>
    </w:p>
    <w:p w14:paraId="74CAFEE4" w14:textId="03EE97D0" w:rsidR="00D55A5A" w:rsidRPr="004F69FD" w:rsidRDefault="00D55A5A">
      <w:pPr>
        <w:rPr>
          <w:rFonts w:eastAsiaTheme="minorEastAsia"/>
          <w:bCs/>
        </w:rPr>
      </w:pPr>
      <w:r>
        <w:rPr>
          <w:rFonts w:eastAsiaTheme="minorEastAsia"/>
          <w:bCs/>
        </w:rPr>
        <w:br w:type="page"/>
      </w:r>
    </w:p>
    <w:p w14:paraId="5D2562D6" w14:textId="77777777" w:rsidR="008B1AF2" w:rsidRDefault="008B1AF2" w:rsidP="00164E47">
      <w:pPr>
        <w:autoSpaceDE w:val="0"/>
        <w:autoSpaceDN w:val="0"/>
        <w:adjustRightInd w:val="0"/>
        <w:spacing w:line="360" w:lineRule="auto"/>
        <w:jc w:val="both"/>
        <w:rPr>
          <w:rFonts w:eastAsiaTheme="minorEastAsia"/>
          <w:b/>
          <w:bCs/>
        </w:rPr>
      </w:pPr>
      <w:r>
        <w:rPr>
          <w:rFonts w:eastAsiaTheme="minorEastAsia"/>
          <w:b/>
          <w:bCs/>
        </w:rPr>
        <w:lastRenderedPageBreak/>
        <w:t xml:space="preserve">1. </w:t>
      </w:r>
      <w:r w:rsidR="00AF0AEF" w:rsidRPr="00AF0AEF">
        <w:rPr>
          <w:rFonts w:eastAsiaTheme="minorEastAsia"/>
          <w:b/>
          <w:bCs/>
        </w:rPr>
        <w:t>Introduction</w:t>
      </w:r>
    </w:p>
    <w:p w14:paraId="62E0C236" w14:textId="7A55AD39" w:rsidR="00AF0AEF" w:rsidRPr="00AF0AEF" w:rsidRDefault="00AF0AEF" w:rsidP="00164E47">
      <w:pPr>
        <w:autoSpaceDE w:val="0"/>
        <w:autoSpaceDN w:val="0"/>
        <w:adjustRightInd w:val="0"/>
        <w:spacing w:line="360" w:lineRule="auto"/>
        <w:jc w:val="both"/>
        <w:rPr>
          <w:rFonts w:eastAsiaTheme="minorEastAsia"/>
          <w:b/>
          <w:i/>
          <w:iCs/>
        </w:rPr>
      </w:pPr>
    </w:p>
    <w:p w14:paraId="7704E251" w14:textId="7C3A8A70" w:rsidR="00EC3ABB" w:rsidRDefault="00AF0AEF" w:rsidP="00164E47">
      <w:pPr>
        <w:autoSpaceDE w:val="0"/>
        <w:autoSpaceDN w:val="0"/>
        <w:adjustRightInd w:val="0"/>
        <w:spacing w:line="360" w:lineRule="auto"/>
        <w:jc w:val="both"/>
        <w:rPr>
          <w:rFonts w:eastAsiaTheme="minorEastAsia"/>
        </w:rPr>
      </w:pPr>
      <w:r w:rsidRPr="0BE2BDA0">
        <w:rPr>
          <w:rFonts w:eastAsiaTheme="minorEastAsia"/>
        </w:rPr>
        <w:t xml:space="preserve">Paranoia </w:t>
      </w:r>
      <w:r>
        <w:rPr>
          <w:rFonts w:eastAsiaTheme="minorEastAsia"/>
        </w:rPr>
        <w:t xml:space="preserve">involves </w:t>
      </w:r>
      <w:r w:rsidR="00B556B0">
        <w:rPr>
          <w:rFonts w:eastAsiaTheme="minorEastAsia"/>
        </w:rPr>
        <w:t xml:space="preserve">being troubled by excessive concerns </w:t>
      </w:r>
      <w:r>
        <w:rPr>
          <w:rFonts w:eastAsiaTheme="minorEastAsia"/>
        </w:rPr>
        <w:t xml:space="preserve">that harm will occur and that this </w:t>
      </w:r>
      <w:r w:rsidRPr="0BE2BDA0">
        <w:rPr>
          <w:rFonts w:eastAsiaTheme="minorEastAsia"/>
        </w:rPr>
        <w:t xml:space="preserve">harm is intended by others </w:t>
      </w:r>
      <w:r w:rsidR="0088525C">
        <w:rPr>
          <w:rFonts w:eastAsiaTheme="minorEastAsia"/>
        </w:rPr>
        <w:fldChar w:fldCharType="begin"/>
      </w:r>
      <w:r w:rsidR="008C33A0">
        <w:rPr>
          <w:rFonts w:eastAsiaTheme="minorEastAsia"/>
        </w:rPr>
        <w:instrText xml:space="preserve"> ADDIN ZOTERO_ITEM CSL_CITATION {"citationID":"EKaQgVwa","properties":{"formattedCitation":"(Freeman and Garety, 2000)","plainCitation":"(Freeman and Garety, 2000)","noteIndex":0},"citationItems":[{"id":4660,"uris":["http://zotero.org/users/5126227/items/9ULX4D7D"],"uri":["http://zotero.org/users/5126227/items/9ULX4D7D"],"itemData":{"id":4660,"type":"article-journal","container-title":"British Journal of Clinical Psychology","DOI":"10.1348/014466500163400","issue":"4","language":"English","page":"407–414","title":"Comments on the content of persecutory delusions: Does the definition need clarification?","volume":"39","author":[{"family":"Freeman","given":"Daniel"},{"family":"Garety","given":"Philippa A"}],"issued":{"date-parts":[["2000",11]]}}}],"schema":"https://github.com/citation-style-language/schema/raw/master/csl-citation.json"} </w:instrText>
      </w:r>
      <w:r w:rsidR="0088525C">
        <w:rPr>
          <w:rFonts w:eastAsiaTheme="minorEastAsia"/>
        </w:rPr>
        <w:fldChar w:fldCharType="separate"/>
      </w:r>
      <w:r w:rsidR="0088525C">
        <w:rPr>
          <w:rFonts w:eastAsiaTheme="minorEastAsia"/>
          <w:noProof/>
        </w:rPr>
        <w:t>(Freeman and Garety, 2000)</w:t>
      </w:r>
      <w:r w:rsidR="0088525C">
        <w:rPr>
          <w:rFonts w:eastAsiaTheme="minorEastAsia"/>
        </w:rPr>
        <w:fldChar w:fldCharType="end"/>
      </w:r>
      <w:r w:rsidRPr="0BE2BDA0">
        <w:rPr>
          <w:rFonts w:eastAsiaTheme="minorEastAsia"/>
        </w:rPr>
        <w:t xml:space="preserve">. </w:t>
      </w:r>
      <w:r w:rsidR="00D67AE9">
        <w:rPr>
          <w:rFonts w:eastAsiaTheme="minorEastAsia"/>
        </w:rPr>
        <w:t xml:space="preserve">Although paranoia </w:t>
      </w:r>
      <w:r w:rsidR="00D1182B">
        <w:rPr>
          <w:rFonts w:eastAsiaTheme="minorEastAsia"/>
        </w:rPr>
        <w:t xml:space="preserve">traditionally referred to delusional paranoia, </w:t>
      </w:r>
      <w:r w:rsidR="00910D45">
        <w:rPr>
          <w:rFonts w:eastAsiaTheme="minorEastAsia"/>
        </w:rPr>
        <w:t xml:space="preserve">a broader spectrum of paranoid concerns </w:t>
      </w:r>
      <w:r w:rsidR="00D67AE9">
        <w:rPr>
          <w:rFonts w:eastAsiaTheme="minorEastAsia"/>
        </w:rPr>
        <w:t xml:space="preserve">also occurs in </w:t>
      </w:r>
      <w:r w:rsidR="00D1182B">
        <w:rPr>
          <w:rFonts w:eastAsiaTheme="minorEastAsia"/>
        </w:rPr>
        <w:t xml:space="preserve">a range of psychiatric syndromes and </w:t>
      </w:r>
      <w:r w:rsidR="00D21875">
        <w:rPr>
          <w:rFonts w:eastAsiaTheme="minorEastAsia"/>
        </w:rPr>
        <w:t xml:space="preserve">throughout </w:t>
      </w:r>
      <w:r w:rsidR="00D1182B">
        <w:rPr>
          <w:rFonts w:eastAsiaTheme="minorEastAsia"/>
        </w:rPr>
        <w:t xml:space="preserve">the general population </w:t>
      </w:r>
      <w:r w:rsidR="00D67AE9">
        <w:rPr>
          <w:rFonts w:eastAsiaTheme="minorEastAsia"/>
        </w:rPr>
        <w:t>where it can</w:t>
      </w:r>
      <w:r>
        <w:rPr>
          <w:rFonts w:eastAsiaTheme="minorEastAsia"/>
        </w:rPr>
        <w:t xml:space="preserve"> </w:t>
      </w:r>
      <w:r w:rsidR="00D67AE9">
        <w:rPr>
          <w:rFonts w:eastAsiaTheme="minorEastAsia"/>
        </w:rPr>
        <w:t>encompass perceptions of social reference</w:t>
      </w:r>
      <w:r w:rsidR="00EC3ABB">
        <w:rPr>
          <w:rFonts w:eastAsiaTheme="minorEastAsia"/>
        </w:rPr>
        <w:t xml:space="preserve"> and hostility;</w:t>
      </w:r>
      <w:r w:rsidR="00D67AE9">
        <w:rPr>
          <w:rFonts w:eastAsiaTheme="minorEastAsia"/>
        </w:rPr>
        <w:t xml:space="preserve"> </w:t>
      </w:r>
      <w:r w:rsidR="00EC3ABB">
        <w:rPr>
          <w:rFonts w:eastAsiaTheme="minorEastAsia"/>
        </w:rPr>
        <w:t xml:space="preserve">suspicious thoughts and mistrust of others; and fears of persecution </w:t>
      </w:r>
      <w:r w:rsidR="00164E47">
        <w:rPr>
          <w:rFonts w:eastAsiaTheme="minorEastAsia"/>
        </w:rPr>
        <w:fldChar w:fldCharType="begin"/>
      </w:r>
      <w:r w:rsidR="004F69FD">
        <w:rPr>
          <w:rFonts w:eastAsiaTheme="minorEastAsia"/>
        </w:rPr>
        <w:instrText xml:space="preserve"> ADDIN ZOTERO_ITEM CSL_CITATION {"citationID":"xOsHUXo7","properties":{"formattedCitation":"(Bebbington et al., 2013; Combs et al., 2006; Elahi et al., 2017; Freeman, 2016; Green et al., 2008)","plainCitation":"(Bebbington et al., 2013; Combs et al., 2006; Elahi et al., 2017; Freeman, 2016; Green et al., 2008)","noteIndex":0},"citationItems":[{"id":15086,"uris":["http://zotero.org/users/5126227/items/Q7BCUYLY"],"uri":["http://zotero.org/users/5126227/items/Q7BCUYLY"],"itemData":{"id":15086,"type":"article-journal","abstract":"Background\n              Psychotic phenomena appear to form a continuum with normal experience and beliefs, and may build on common emotional interpersonal concerns.\n            \n            \n              Aims\n              We tested predictions that paranoid ideation is exponentially distributed and hierarchically arranged in the general population, and that persecutory ideas build on more common cognitions of mistrust, interpersonal sensitivity and ideas of reference.\n            \n            \n              Method\n              Items were chosen from the Structured Clinical Interview for DSM-IV Axis II Disorders (SCID-II) questionnaire and the Psychosis Screening Questionnaire in the second British National Survey of Psychiatric Morbidity (n = 8580), to test a putative hierarchy of paranoid development using confirmatory factor analysis, latent class analysis and factor mixture modelling analysis.\n            \n            \n              Results\n              \n                Different types of paranoid ideation ranged in frequency from less than 2% to nearly 30%. Total scores on these items followed an almost perfect exponential distribution (r = 0.99). Our four a\n                priori\n                first-order factors were corroborated (interpersonal sensitivity; mistrust;ideas of reference; ideas of persecution). These mapped onto four classes of individual respondents:a rare, severe, persecutory class with high endorsement of all item factors, including persecutory ideation; a quasi-normal class with infrequent endorsement of interpersonal sensitivity, mistrust and ideas of reference, and no ideas of persecution; and two intermediate classes, characterised respectively by relatively high endorsement of items relating to mistrust and to ideas of reference.\n              \n            \n            \n              Conclusions\n              The paranoia continuum has implications for the aetiology, mechanisms and treatment of psychotic disorders, while confirming the lack of a clear distinction from normal experiences and processes.","container-title":"British Journal of Psychiatry","DOI":"10.1192/bjp.bp.112.119032","ISSN":"0007-1250, 1472-1465","issue":"6","journalAbbreviation":"Br J Psychiatry","language":"en","page":"419-427","source":"DOI.org (Crossref)","title":"The structure of paranoia in the general population","volume":"202","author":[{"family":"Bebbington","given":"Paul E."},{"family":"McBride","given":"Orla"},{"family":"Steel","given":"Craig"},{"family":"Kuipers","given":"Elizabeth"},{"family":"Radovanoviĉ","given":"Mirjana"},{"family":"Brugha","given":"Traolach"},{"family":"Jenkins","given":"Rachel"},{"family":"Meltzer","given":"Howard I."},{"family":"Freeman","given":"Daniel"}],"issued":{"date-parts":[["2013",6]]}}},{"id":4454,"uris":["http://zotero.org/users/5126227/items/DCFD9DKA"],"uri":["http://zotero.org/users/5126227/items/DCFD9DKA"],"itemData":{"id":4454,"type":"article-journal","container-title":"Journal of Black Psychology","DOI":"10.1177/0095798405283175","issue":"1","language":"English","page":"87–104","title":"Perceived Racism as a Predictor of Paranoia Among African Americans","volume":"32","author":[{"family":"Combs","given":"Dennis R"},{"family":"Penn","given":"David L"},{"family":"Cassisi","given":"Jeffrey"},{"family":"Michael","given":"Chris"},{"family":"Wood","given":"Terry"},{"family":"Wanner","given":"Jill"},{"family":"Adams","given":"Scott"}],"issued":{"date-parts":[["2006"]]}}},{"id":15132,"uris":["http://zotero.org/users/5126227/items/XS7YYG75"],"uri":["http://zotero.org/users/5126227/items/XS7YYG75"],"itemData":{"id":15132,"type":"article-journal","abstract":"Background\nThere is widespread interest in whether psychosis exists on a continuum with healthy functioning. Previous research has implied that paranoia, a common symptom of psychosis, exists on a continuum but this has not been investigated using samples including both patients and non-patients and up-to-date taxometric methods.\nAim\nTo assess the latent structure of paranoia in a diverse sample using taxometric methods.\nMethod\nWe obtained data from 2836 participants, including the general population as well as at-risk mental state and psychotic patients using the P-scale of the Paranoia and Deservedness Scale. Data were analysed using three taxometric procedures, MAMBAC, MAXEIG and L-MODE (Ruscio, 2016), and two sets of paranoia indicators (subscales and selected items from the P scale), including and excluding the patient groups.\nResults\nEleven of the twelve analyses supported a dimensional model. Using the full sample and subscales as indicators, the MAMBAC analysis was ambiguous. Overall, the findings converged on a dimensional latent structure.\nConclusions\nA dimensional latent structure of paranoia implies that the processes involved in sub-clinical paranoia may be similar to those in clinical paranoia.","container-title":"Schizophrenia Research","DOI":"10.1016/j.schres.2017.03.022","ISSN":"0920-9964","journalAbbreviation":"Schizophrenia Research","language":"en","page":"77-81","source":"ScienceDirect","title":"Do paranoid delusions exist on a continuum with subclinical paranoia? A multi-method taxometric study","title-short":"Do paranoid delusions exist on a continuum with subclinical paranoia?","volume":"190","author":[{"family":"Elahi","given":"A."},{"family":"Perez Algorta","given":"G."},{"family":"Varese","given":"F."},{"family":"McIntyre","given":"J. C."},{"family":"Bentall","given":"R. P."}],"issued":{"date-parts":[["2017",12,1]]}}},{"id":"iyQYOOSa/IbGbcRGe","uris":["http://zotero.org/users/local/LNWAA8co/items/G7FXZ5EG"],"uri":["http://zotero.org/users/local/LNWAA8co/items/G7FXZ5EG"],"itemData":{"id":3138,"type":"article-journal","title":"Persecutory delusions: a cognitive perspective on understanding and treatment","container-title":"The Lancet Psychiatry","page":"685-692","volume":"3","issue":"7","abstract":"The Lancet Psychiatry, 3 (2016) 685-692. doi:10.1016/S2215-0366(16)00066-3","DOI":"10.1016/S2215-0366(16)00066-3","journalAbbreviation":"The Lancet Psychiatry","author":[{"family":"Freeman","given":"Prof Daniel"}],"issued":{"date-parts":[["2016",6,25]]}}},{"id":4541,"uris":["http://zotero.org/users/5126227/items/C3SELVHV"],"uri":["http://zotero.org/users/5126227/items/C3SELVHV"],"itemData":{"id":4541,"type":"article-journal","container-title":"Psychological Medicine","DOI":"10.1017/s0033291707001638","issue":"01","language":"English","title":"Measuring ideas of persecution and social reference: the Green et al. Paranoid Thought Scales (GPTS)","URL":"http://www.journals.cambridge.org/abstract_S0033291707001638","volume":"38","author":[{"family":"Green","given":"C E L"},{"family":"Freeman","given":"Daniel"},{"family":"Kuipers","given":"E"},{"family":"Bebbington","given":"P"},{"family":"Fowler","given":"D"},{"family":"Dunn","given":"G"},{"family":"Garety","given":"P A"}],"issued":{"date-parts":[["2008"]]}}}],"schema":"https://github.com/citation-style-language/schema/raw/master/csl-citation.json"} </w:instrText>
      </w:r>
      <w:r w:rsidR="00164E47">
        <w:rPr>
          <w:rFonts w:eastAsiaTheme="minorEastAsia"/>
        </w:rPr>
        <w:fldChar w:fldCharType="separate"/>
      </w:r>
      <w:r w:rsidR="00D67AE9">
        <w:rPr>
          <w:rFonts w:eastAsiaTheme="minorEastAsia"/>
          <w:noProof/>
        </w:rPr>
        <w:t>(Bebbington et al., 2013; Combs et al., 2006; Elahi et al., 2017; Freeman, 2016; Green et al., 2008)</w:t>
      </w:r>
      <w:r w:rsidR="00164E47">
        <w:rPr>
          <w:rFonts w:eastAsiaTheme="minorEastAsia"/>
        </w:rPr>
        <w:fldChar w:fldCharType="end"/>
      </w:r>
      <w:r w:rsidRPr="0BE2BDA0">
        <w:rPr>
          <w:rFonts w:eastAsiaTheme="minorEastAsia"/>
        </w:rPr>
        <w:t xml:space="preserve">. </w:t>
      </w:r>
      <w:r w:rsidR="00EC3ABB">
        <w:rPr>
          <w:rFonts w:eastAsiaTheme="minorEastAsia"/>
        </w:rPr>
        <w:t xml:space="preserve">Paranoia </w:t>
      </w:r>
      <w:r w:rsidR="00910D45">
        <w:rPr>
          <w:rFonts w:eastAsiaTheme="minorEastAsia"/>
        </w:rPr>
        <w:t xml:space="preserve">shows full taxometric continuity across </w:t>
      </w:r>
      <w:r w:rsidR="00EC3ABB">
        <w:rPr>
          <w:rFonts w:eastAsiaTheme="minorEastAsia"/>
        </w:rPr>
        <w:t>clinical and non-clinical populations</w:t>
      </w:r>
      <w:r w:rsidR="008C6A89">
        <w:rPr>
          <w:rFonts w:eastAsiaTheme="minorEastAsia"/>
        </w:rPr>
        <w:t xml:space="preserve"> </w:t>
      </w:r>
      <w:r w:rsidR="00EC3ABB">
        <w:rPr>
          <w:rFonts w:eastAsiaTheme="minorEastAsia"/>
        </w:rPr>
        <w:fldChar w:fldCharType="begin"/>
      </w:r>
      <w:r w:rsidR="005F025D">
        <w:rPr>
          <w:rFonts w:eastAsiaTheme="minorEastAsia"/>
        </w:rPr>
        <w:instrText xml:space="preserve"> ADDIN ZOTERO_ITEM CSL_CITATION {"citationID":"Pwe20Cn1","properties":{"formattedCitation":"(Ahmed et al., 2012; Edens et al., 2009; Elahi et al., 2017)","plainCitation":"(Ahmed et al., 2012; Edens et al., 2009; Elahi et al., 2017)","noteIndex":0},"citationItems":[{"id":15180,"uris":["http://zotero.org/users/5126227/items/7PGJEECF"],"uri":["http://zotero.org/users/5126227/items/7PGJEECF"],"itemData":{"id":15180,"type":"article-journal","abstract":"There remains debate about whether personality disorders (PDs) are better conceptualized as categorical, reflecting discontinuity from normal personality; or dimensional, existing on a continuum of severity with normal personality traits. Evidence suggests that most PDs are dimensional but there is a lack of consensus about the structure of Cluster A disorders. Taxometric methods are adaptable to investigating the taxonic status of psychiatric disorders. The current study investigated the latent structure of paranoid and schizoid PDs in an epidemiological sample (N=43,093) drawn from the National Epidemiological Survey on Alcohol and Related Conditions (NESARC) using taxometric analyses. The current study used taxometric methods to analyze three indicators of paranoid PD — mistrust, resentment, and functional disturbance — and three indicators of schizoid PD — emotional detachment, social withdrawal, and functional disturbance — derived factor analytically. Overall, taxometrics supported a dimensional rather than taxonic structure for paranoid and schizoid PDs through examination of taxometric graphs and comparative curve fit indices. Dimensional models of paranoid and schizoid PDs better predicted social functioning, role-emotional, and mental health scales in the survey than categorical models. Evidence from the current study supports recent efforts to represent paranoid and schizoid PDs as well as other PDs along broad personality dimensions.","container-title":"Psychiatry Research","DOI":"10.1016/j.psychres.2011.10.010","ISSN":"0165-1781","issue":"1","journalAbbreviation":"Psychiatry Research","language":"en","page":"123-132","source":"ScienceDirect","title":"Taxometric analyses of paranoid and schizoid personality disorders","volume":"196","author":[{"family":"Ahmed","given":"Anthony Olufemi"},{"family":"Green","given":"Bradley Andrew"},{"family":"Buckley","given":"Peter Francis"},{"family":"McFarland","given":"Megan Elizabeth"}],"issued":{"date-parts":[["2012",3,30]]}}},{"id":15182,"uris":["http://zotero.org/users/5126227/items/CYQV68IJ"],"uri":["http://zotero.org/users/5126227/items/CYQV68IJ"],"itemData":{"id":15182,"type":"article-journal","abstract":"Although paranoid personality is one of the most commonly diagnosed personality disorders and is associated with numerous negative life consequences, relatively little is known about the structural properties of this condition. This study examines whether paranoid personality traits represent a latent dimension or a discrete class (i.e., taxon). In Study 1, the authors conducted taxometric analyses of paranoid personality disorder criteria in a sample of 731 patients participating in the Collaborative Longitudinal Study of Personality Disorders project (Gunderson et al., 2000) who had been administered a semistructured diagnostic interview for personality disorders according to criteria of the Diagnostic and Statistical Manual of Mental Disorders (4th ed.; American Psychiatric Association, 1994). In Study 2, the authors conducted parallel analyses of the Paranoia scale of the Personality Assessment Inventory (PAI; L. C. Morey, 2007), using data from the PAI community and clinical normative databases. Analyses across both self-report and interview-based indicators offered compelling support for a dimensional structure. Additionally, analyses of external correlates in these data sets suggested that dimensional models demonstrated stronger validity coefficients with criterion measures than did dichotomous models. (PsycINFO Database Record (c) 2016 APA, all rights reserved)","container-title":"Journal of Abnormal Psychology","DOI":"10.1037/a0016313","ISSN":"1939-1846(Electronic),0021-843X(Print)","issue":"3","note":"publisher-place: US\npublisher: American Psychological Association","page":"545-553","source":"APA PsycNET","title":"Paranoid personality has a dimensional latent structure: Taxometric analyses of community and clinical samples","title-short":"Paranoid personality has a dimensional latent structure","volume":"118","author":[{"family":"Edens","given":"John F."},{"family":"Marcus","given":"David K."},{"family":"Morey","given":"Leslie C."}],"issued":{"date-parts":[["2009"]]}}},{"id":15132,"uris":["http://zotero.org/users/5126227/items/XS7YYG75"],"uri":["http://zotero.org/users/5126227/items/XS7YYG75"],"itemData":{"id":15132,"type":"article-journal","abstract":"Background\nThere is widespread interest in whether psychosis exists on a continuum with healthy functioning. Previous research has implied that paranoia, a common symptom of psychosis, exists on a continuum but this has not been investigated using samples including both patients and non-patients and up-to-date taxometric methods.\nAim\nTo assess the latent structure of paranoia in a diverse sample using taxometric methods.\nMethod\nWe obtained data from 2836 participants, including the general population as well as at-risk mental state and psychotic patients using the P-scale of the Paranoia and Deservedness Scale. Data were analysed using three taxometric procedures, MAMBAC, MAXEIG and L-MODE (Ruscio, 2016), and two sets of paranoia indicators (subscales and selected items from the P scale), including and excluding the patient groups.\nResults\nEleven of the twelve analyses supported a dimensional model. Using the full sample and subscales as indicators, the MAMBAC analysis was ambiguous. Overall, the findings converged on a dimensional latent structure.\nConclusions\nA dimensional latent structure of paranoia implies that the processes involved in sub-clinical paranoia may be similar to those in clinical paranoia.","container-title":"Schizophrenia Research","DOI":"10.1016/j.schres.2017.03.022","ISSN":"0920-9964","journalAbbreviation":"Schizophrenia Research","language":"en","page":"77-81","source":"ScienceDirect","title":"Do paranoid delusions exist on a continuum with subclinical paranoia? A multi-method taxometric study","title-short":"Do paranoid delusions exist on a continuum with subclinical paranoia?","volume":"190","author":[{"family":"Elahi","given":"A."},{"family":"Perez Algorta","given":"G."},{"family":"Varese","given":"F."},{"family":"McIntyre","given":"J. C."},{"family":"Bentall","given":"R. P."}],"issued":{"date-parts":[["2017",12,1]]}}}],"schema":"https://github.com/citation-style-language/schema/raw/master/csl-citation.json"} </w:instrText>
      </w:r>
      <w:r w:rsidR="00EC3ABB">
        <w:rPr>
          <w:rFonts w:eastAsiaTheme="minorEastAsia"/>
        </w:rPr>
        <w:fldChar w:fldCharType="separate"/>
      </w:r>
      <w:r w:rsidR="005F025D">
        <w:rPr>
          <w:rFonts w:eastAsiaTheme="minorEastAsia"/>
          <w:noProof/>
        </w:rPr>
        <w:t>(Ahmed et al., 2012; Edens et al., 2009; Elahi et al., 2017)</w:t>
      </w:r>
      <w:r w:rsidR="00EC3ABB">
        <w:rPr>
          <w:rFonts w:eastAsiaTheme="minorEastAsia"/>
        </w:rPr>
        <w:fldChar w:fldCharType="end"/>
      </w:r>
      <w:r w:rsidR="005F025D">
        <w:rPr>
          <w:rFonts w:eastAsiaTheme="minorEastAsia"/>
        </w:rPr>
        <w:t>,</w:t>
      </w:r>
      <w:r w:rsidR="00910D45">
        <w:rPr>
          <w:rFonts w:eastAsiaTheme="minorEastAsia"/>
        </w:rPr>
        <w:t xml:space="preserve"> </w:t>
      </w:r>
      <w:r w:rsidR="0030591B">
        <w:rPr>
          <w:rFonts w:eastAsiaTheme="minorEastAsia"/>
        </w:rPr>
        <w:t xml:space="preserve">supporting a dimensional approach to paranoia and </w:t>
      </w:r>
      <w:r w:rsidR="00EC3ABB">
        <w:rPr>
          <w:rFonts w:eastAsiaTheme="minorEastAsia"/>
        </w:rPr>
        <w:t>suggest</w:t>
      </w:r>
      <w:r w:rsidR="0030591B">
        <w:rPr>
          <w:rFonts w:eastAsiaTheme="minorEastAsia"/>
        </w:rPr>
        <w:t>ing</w:t>
      </w:r>
      <w:r w:rsidR="00EC3ABB">
        <w:rPr>
          <w:rFonts w:eastAsiaTheme="minorEastAsia"/>
        </w:rPr>
        <w:t xml:space="preserve"> that studying the cognitive and affective correlates of paranoid thinking in </w:t>
      </w:r>
      <w:r w:rsidR="005F025D">
        <w:rPr>
          <w:rFonts w:eastAsiaTheme="minorEastAsia"/>
        </w:rPr>
        <w:t xml:space="preserve">the </w:t>
      </w:r>
      <w:r w:rsidR="00EC3ABB">
        <w:rPr>
          <w:rFonts w:eastAsiaTheme="minorEastAsia"/>
        </w:rPr>
        <w:t xml:space="preserve">general population will yield insights into more severe paranoia in clinical settings </w:t>
      </w:r>
      <w:r w:rsidR="00EC3ABB">
        <w:rPr>
          <w:rFonts w:eastAsiaTheme="minorEastAsia"/>
        </w:rPr>
        <w:fldChar w:fldCharType="begin"/>
      </w:r>
      <w:r w:rsidR="00EC3ABB">
        <w:rPr>
          <w:rFonts w:eastAsiaTheme="minorEastAsia"/>
        </w:rPr>
        <w:instrText xml:space="preserve"> ADDIN ZOTERO_ITEM CSL_CITATION {"citationID":"M3VVbIY5","properties":{"formattedCitation":"(Freeman et al., 2005; Raihani and Bell, 2019)","plainCitation":"(Freeman et al., 2005; Raihani and Bell, 2019)","noteIndex":0},"citationItems":[{"id":4470,"uris":["http://zotero.org/users/5126227/items/2G2K5B5J"],"uri":["http://zotero.org/users/5126227/items/2G2K5B5J"],"itemData":{"id":4470,"type":"article-journal","container-title":"The British Journal of Psychiatry","DOI":"10.1192/bjp.186.5.427","issue":"5","language":"English","page":"427–435","title":"Psychological investigation of the structure of paranoia in a non-clinical population","volume":"186","author":[{"family":"Freeman","given":"Daniel"},{"family":"Garety","given":"Philippa A"},{"family":"Bebbington","given":"P E"},{"family":"Smith","given":"B"},{"family":"Rollinson","given":"R"},{"family":"Fowler","given":"D"},{"family":"Kuipers","given":"E"},{"family":"Ray","given":"K"},{"family":"Dunn","given":"G"}],"issued":{"date-parts":[["2005"]]}}},{"id":12236,"uris":["http://zotero.org/users/5126227/items/A9ZQH9IC"],"uri":["http://zotero.org/users/5126227/items/A9ZQH9IC"],"itemData":{"id":12236,"type":"article-journal","abstract":"Paranoia is not only a symptom of mental disorder, but may also function as part of normal human psychology. Raihani and Bell review the evidence for an evolutionary account of paranoia in which between-group competition favours the development of psychological mechanisms to avoid social threat.","container-title":"Nature Human Behaviour","DOI":"10.1038/s41562-018-0495-0","ISSN":"2397-3374","issue":"2","journalAbbreviation":"Nat Hum Behav","language":"en","page":"114-121","source":"www.nature.com","title":"An evolutionary perspective on paranoia","volume":"3","author":[{"family":"Raihani","given":"Nichola J."},{"family":"Bell","given":"Vaughan"}],"issued":{"date-parts":[["2019",2]]}}}],"schema":"https://github.com/citation-style-language/schema/raw/master/csl-citation.json"} </w:instrText>
      </w:r>
      <w:r w:rsidR="00EC3ABB">
        <w:rPr>
          <w:rFonts w:eastAsiaTheme="minorEastAsia"/>
        </w:rPr>
        <w:fldChar w:fldCharType="separate"/>
      </w:r>
      <w:r w:rsidR="00EC3ABB">
        <w:rPr>
          <w:rFonts w:eastAsiaTheme="minorEastAsia"/>
          <w:noProof/>
        </w:rPr>
        <w:t>(Freeman et al., 2005; Raihani and Bell, 2019)</w:t>
      </w:r>
      <w:r w:rsidR="00EC3ABB">
        <w:rPr>
          <w:rFonts w:eastAsiaTheme="minorEastAsia"/>
        </w:rPr>
        <w:fldChar w:fldCharType="end"/>
      </w:r>
      <w:r w:rsidR="00EC3ABB">
        <w:rPr>
          <w:rFonts w:eastAsiaTheme="minorEastAsia"/>
        </w:rPr>
        <w:t>. Our aim is to determine whether paranoia correlates with altered social reward value, and whether this predicts social behaviour in an experimental setting.</w:t>
      </w:r>
    </w:p>
    <w:p w14:paraId="083DF76E" w14:textId="77777777" w:rsidR="00EC3ABB" w:rsidRDefault="00EC3ABB" w:rsidP="00164E47">
      <w:pPr>
        <w:autoSpaceDE w:val="0"/>
        <w:autoSpaceDN w:val="0"/>
        <w:adjustRightInd w:val="0"/>
        <w:spacing w:line="360" w:lineRule="auto"/>
        <w:jc w:val="both"/>
        <w:rPr>
          <w:rFonts w:eastAsiaTheme="minorEastAsia"/>
        </w:rPr>
      </w:pPr>
    </w:p>
    <w:p w14:paraId="4F13C753" w14:textId="60BA6213" w:rsidR="000670B6" w:rsidRPr="00203879" w:rsidRDefault="00FF277F" w:rsidP="00164E47">
      <w:pPr>
        <w:autoSpaceDE w:val="0"/>
        <w:autoSpaceDN w:val="0"/>
        <w:adjustRightInd w:val="0"/>
        <w:spacing w:line="360" w:lineRule="auto"/>
        <w:jc w:val="both"/>
        <w:rPr>
          <w:rFonts w:eastAsiaTheme="minorEastAsia"/>
          <w:color w:val="000000" w:themeColor="text1"/>
        </w:rPr>
      </w:pPr>
      <w:r w:rsidRPr="00203879">
        <w:rPr>
          <w:rFonts w:eastAsiaTheme="minorEastAsia"/>
          <w:color w:val="000000" w:themeColor="text1"/>
        </w:rPr>
        <w:t xml:space="preserve">Although factors </w:t>
      </w:r>
      <w:r w:rsidR="00D21875" w:rsidRPr="00203879">
        <w:rPr>
          <w:rFonts w:eastAsiaTheme="minorEastAsia"/>
          <w:color w:val="000000" w:themeColor="text1"/>
        </w:rPr>
        <w:t>that main</w:t>
      </w:r>
      <w:r w:rsidR="00513652" w:rsidRPr="00203879">
        <w:rPr>
          <w:rFonts w:eastAsiaTheme="minorEastAsia"/>
          <w:color w:val="000000" w:themeColor="text1"/>
        </w:rPr>
        <w:t>tain</w:t>
      </w:r>
      <w:r w:rsidR="00D21875" w:rsidRPr="00203879">
        <w:rPr>
          <w:rFonts w:eastAsiaTheme="minorEastAsia"/>
          <w:color w:val="000000" w:themeColor="text1"/>
        </w:rPr>
        <w:t xml:space="preserve"> clinical paranoia, such as sleep difficulties and worry, </w:t>
      </w:r>
      <w:r w:rsidRPr="00203879">
        <w:rPr>
          <w:rFonts w:eastAsiaTheme="minorEastAsia"/>
          <w:color w:val="000000" w:themeColor="text1"/>
        </w:rPr>
        <w:t xml:space="preserve">have been relatively </w:t>
      </w:r>
      <w:r w:rsidR="00D21875" w:rsidRPr="00203879">
        <w:rPr>
          <w:rFonts w:eastAsiaTheme="minorEastAsia"/>
          <w:color w:val="000000" w:themeColor="text1"/>
        </w:rPr>
        <w:t>well-</w:t>
      </w:r>
      <w:r w:rsidRPr="00203879">
        <w:rPr>
          <w:rFonts w:eastAsiaTheme="minorEastAsia"/>
          <w:color w:val="000000" w:themeColor="text1"/>
        </w:rPr>
        <w:t xml:space="preserve">characterised </w:t>
      </w:r>
      <w:r w:rsidR="005F025D" w:rsidRPr="00203879">
        <w:rPr>
          <w:rFonts w:eastAsiaTheme="minorEastAsia"/>
          <w:color w:val="000000" w:themeColor="text1"/>
        </w:rPr>
        <w:fldChar w:fldCharType="begin"/>
      </w:r>
      <w:r w:rsidR="004F69FD" w:rsidRPr="00203879">
        <w:rPr>
          <w:rFonts w:eastAsiaTheme="minorEastAsia"/>
          <w:color w:val="000000" w:themeColor="text1"/>
        </w:rPr>
        <w:instrText xml:space="preserve"> ADDIN ZOTERO_ITEM CSL_CITATION {"citationID":"9CRMMr8Y","properties":{"formattedCitation":"(Freeman, 2016)","plainCitation":"(Freeman, 2016)","noteIndex":0},"citationItems":[{"id":"iyQYOOSa/IbGbcRGe","uris":["http://zotero.org/users/local/LNWAA8co/items/G7FXZ5EG"],"uri":["http://zotero.org/users/local/LNWAA8co/items/G7FXZ5EG"],"itemData":{"id":"M4GSaceM/NoHpSnxX","type":"article-journal","title":"Persecutory delusions: a cognitive perspective on understanding and treatment","container-title":"The Lancet Psychiatry","page":"685-692","volume":"3","issue":"7","abstract":"The Lancet Psychiatry, 3 (2016) 685-692. doi:10.1016/S2215-0366(16)00066-3","DOI":"10.1016/S2215-0366(16)00066-3","journalAbbreviation":"The Lancet Psychiatry","author":[{"family":"Freeman","given":"Prof Daniel"}],"issued":{"date-parts":[["2016",6,25]]}}}],"schema":"https://github.com/citation-style-language/schema/raw/master/csl-citation.json"} </w:instrText>
      </w:r>
      <w:r w:rsidR="005F025D" w:rsidRPr="00203879">
        <w:rPr>
          <w:rFonts w:eastAsiaTheme="minorEastAsia"/>
          <w:color w:val="000000" w:themeColor="text1"/>
        </w:rPr>
        <w:fldChar w:fldCharType="separate"/>
      </w:r>
      <w:r w:rsidR="005F025D" w:rsidRPr="00203879">
        <w:rPr>
          <w:rFonts w:eastAsiaTheme="minorEastAsia"/>
          <w:noProof/>
          <w:color w:val="000000" w:themeColor="text1"/>
        </w:rPr>
        <w:t>(Freeman, 2016)</w:t>
      </w:r>
      <w:r w:rsidR="005F025D" w:rsidRPr="00203879">
        <w:rPr>
          <w:rFonts w:eastAsiaTheme="minorEastAsia"/>
          <w:color w:val="000000" w:themeColor="text1"/>
        </w:rPr>
        <w:fldChar w:fldCharType="end"/>
      </w:r>
      <w:r w:rsidRPr="00203879">
        <w:rPr>
          <w:rFonts w:eastAsiaTheme="minorEastAsia"/>
          <w:color w:val="000000" w:themeColor="text1"/>
        </w:rPr>
        <w:t xml:space="preserve">, the </w:t>
      </w:r>
      <w:r w:rsidR="00D21875" w:rsidRPr="00203879">
        <w:rPr>
          <w:rFonts w:eastAsiaTheme="minorEastAsia"/>
          <w:color w:val="000000" w:themeColor="text1"/>
        </w:rPr>
        <w:t xml:space="preserve">mechanisms of </w:t>
      </w:r>
      <w:r w:rsidR="00C6672F" w:rsidRPr="00203879">
        <w:rPr>
          <w:rFonts w:eastAsiaTheme="minorEastAsia"/>
          <w:color w:val="000000" w:themeColor="text1"/>
        </w:rPr>
        <w:t xml:space="preserve">social </w:t>
      </w:r>
      <w:r w:rsidRPr="00203879">
        <w:rPr>
          <w:rFonts w:eastAsiaTheme="minorEastAsia"/>
          <w:color w:val="000000" w:themeColor="text1"/>
        </w:rPr>
        <w:t xml:space="preserve">decision-making </w:t>
      </w:r>
      <w:r w:rsidR="00C6672F" w:rsidRPr="00203879">
        <w:rPr>
          <w:rFonts w:eastAsiaTheme="minorEastAsia"/>
          <w:color w:val="000000" w:themeColor="text1"/>
        </w:rPr>
        <w:t xml:space="preserve">in paranoia have </w:t>
      </w:r>
      <w:r w:rsidR="00D21875" w:rsidRPr="00203879">
        <w:rPr>
          <w:rFonts w:eastAsiaTheme="minorEastAsia"/>
          <w:color w:val="000000" w:themeColor="text1"/>
        </w:rPr>
        <w:t>received much less attention</w:t>
      </w:r>
      <w:r w:rsidR="00C6672F" w:rsidRPr="00203879">
        <w:rPr>
          <w:rFonts w:eastAsiaTheme="minorEastAsia"/>
          <w:color w:val="000000" w:themeColor="text1"/>
        </w:rPr>
        <w:t xml:space="preserve">. </w:t>
      </w:r>
      <w:r w:rsidR="00D21875" w:rsidRPr="00203879">
        <w:rPr>
          <w:rFonts w:eastAsiaTheme="minorEastAsia"/>
          <w:color w:val="000000" w:themeColor="text1"/>
        </w:rPr>
        <w:t xml:space="preserve">Recently, </w:t>
      </w:r>
      <w:r w:rsidR="00AF0AEF" w:rsidRPr="00203879">
        <w:rPr>
          <w:rFonts w:eastAsiaTheme="minorEastAsia"/>
          <w:color w:val="000000" w:themeColor="text1"/>
        </w:rPr>
        <w:t xml:space="preserve">work </w:t>
      </w:r>
      <w:r w:rsidR="00D21875" w:rsidRPr="00203879">
        <w:rPr>
          <w:rFonts w:eastAsiaTheme="minorEastAsia"/>
          <w:color w:val="000000" w:themeColor="text1"/>
        </w:rPr>
        <w:t xml:space="preserve">using </w:t>
      </w:r>
      <w:r w:rsidR="00380F4B" w:rsidRPr="00203879">
        <w:rPr>
          <w:rFonts w:eastAsiaTheme="minorEastAsia"/>
          <w:color w:val="000000" w:themeColor="text1"/>
        </w:rPr>
        <w:t xml:space="preserve">game theory </w:t>
      </w:r>
      <w:r w:rsidR="00D21875" w:rsidRPr="00203879">
        <w:rPr>
          <w:rFonts w:eastAsiaTheme="minorEastAsia"/>
          <w:color w:val="000000" w:themeColor="text1"/>
        </w:rPr>
        <w:t>paradigms that involve experimentally controlled strategic social interactions</w:t>
      </w:r>
      <w:r w:rsidR="0088525C" w:rsidRPr="00203879">
        <w:rPr>
          <w:rFonts w:eastAsiaTheme="minorEastAsia"/>
          <w:color w:val="000000" w:themeColor="text1"/>
        </w:rPr>
        <w:t xml:space="preserve"> </w:t>
      </w:r>
      <w:r w:rsidR="00D21875" w:rsidRPr="00203879">
        <w:rPr>
          <w:rFonts w:eastAsiaTheme="minorEastAsia"/>
          <w:color w:val="000000" w:themeColor="text1"/>
        </w:rPr>
        <w:t xml:space="preserve">have begun to inform the social cognition of paranoid social inference and decision-making </w:t>
      </w:r>
      <w:r w:rsidR="0088525C" w:rsidRPr="00203879">
        <w:rPr>
          <w:rFonts w:eastAsiaTheme="minorEastAsia"/>
          <w:color w:val="000000" w:themeColor="text1"/>
        </w:rPr>
        <w:fldChar w:fldCharType="begin"/>
      </w:r>
      <w:r w:rsidR="009A737E" w:rsidRPr="00203879">
        <w:rPr>
          <w:rFonts w:eastAsiaTheme="minorEastAsia"/>
          <w:color w:val="000000" w:themeColor="text1"/>
        </w:rPr>
        <w:instrText xml:space="preserve"> ADDIN ZOTERO_ITEM CSL_CITATION {"citationID":"9VEF9gSD","properties":{"formattedCitation":"(Barnby et al., 2020; Fett et al., 2012; Greenburgh et al., 2019; Gromann et al., 2014; Raihani and Bell, 2017a, 2017b; Saalfeld et al., 2018)","plainCitation":"(Barnby et al., 2020; Fett et al., 2012; Greenburgh et al., 2019; Gromann et al., 2014; Raihani and Bell, 2017a, 2017b; Saalfeld et al., 2018)","noteIndex":0},"citationItems":[{"id":15185,"uris":["http://zotero.org/users/5126227/items/N292RGPZ"],"uri":["http://zotero.org/users/5126227/items/N292RGPZ"],"itemData":{"id":15185,"type":"article-journal","abstract":"The sensitization model suggests that paranoia is explained by over-sensitivity to social threat. However, this has been difficult to test experimentally. We report two preregistered social interaction studies that tested (i) whether paranoia predicted overall attribution and peak attribution of harmful intent and (ii) whether anxiety, interpersonal sensitivity and worry predicted the attribution of harmful intent. In Study 1, we recruited a large general population sample (N = 987) who serially interacted with other participants in multi-round dictator games and matched to fair, partially fair or unfair partners. Participants rated attributions of harmful intent and self-interest after each interaction. In Study 2 (N = 1011), a new sample of participants completed the same procedure and additionally completed measures of anxiety, worry and interpersonal sensitivity. As predicted, prior paranoid ideation was associated with higher and faster overall harmful intent attributions, whereas attributions of self-interest were unaffected, supporting the sensitization model. Contrary to predictions, neither worry, interpersonal sensitivity nor anxiety was associated with harmful intent attributions. In a third exploratory internal meta-analysis, we combined datasets to examine the effect of paranoia on trial-by-trial attributional changes when playing fair and unfair dictators. Paranoia was associated with a greater reduction in harmful intent attributions when playing a fair but not unfair dictator, suggesting that paranoia may also exaggerate the volatility of beliefs about the harmful intent of others.","container-title":"Royal Society Open Science","DOI":"10.1098/rsos.191525","issue":"3","journalAbbreviation":"Royal Society Open Science","note":"publisher: Royal Society","page":"191525","source":"royalsocietypublishing.org (Atypon)","title":"Paranoia, sensitization and social inference: findings from two large-scale, multi-round behavioural experiments","title-short":"Paranoia, sensitization and social inference","volume":"7","author":[{"family":"Barnby","given":"J. M."},{"family":"Deeley","given":"Q."},{"family":"Robinson","given":"O."},{"family":"Raihani","given":"N."},{"family":"Bell","given":"V."},{"family":"Mehta","given":"M. A."}],"issued":{"date-parts":[["2020"]]}}},{"id":865,"uris":["http://zotero.org/users/5126227/items/QFJ9MJNE"],"uri":["http://zotero.org/users/5126227/items/QFJ9MJNE"],"itemData":{"id":865,"type":"article-journal","abstract":"... Brain: 139 (2). Editor. Dimitri M. Kullmann. Impact factor 9.196 5 Year impact factor 10.418. Published on behalf of The Guarantors of Brain. To trust or not to trust : the dynamics of social interaction in psychosis . Anne-Kathrin J. Fett ...","container-title":"Brain","DOI":"10.1093/brain/awr359","issue":"3","language":"English","page":"976–984","title":"To trust or not to trust: the dynamics of social interaction in psychosis","volume":"135","author":[{"family":"Fett","given":"AKJ"},{"family":"Shergill","given":"S S"},{"family":"Joyce","given":"D W"},{"family":"Riedl","given":"A"},{"family":"Strobel","given":"M"}],"issued":{"date-parts":[["2012"]]}}},{"id":12723,"uris":["http://zotero.org/users/5126227/items/QA2HIE36"],"uri":["http://zotero.org/users/5126227/items/QA2HIE36"],"itemData":{"id":12723,"type":"article-journal","abstract":"Current theories argue that hyper-sensitisation of social threat perception is central to paranoia. Affected people often also report misperceptions of group cohesion (conspiracy) but little is known about the cognitive mechanisms underpinning this conspiracy thinking in live interactions. In a pre-registered experimental study, we used a large-scale game theory approach (\n              N\n               &gt; 1,000) to test whether the social cohesion of an opposing group affects paranoid attributions in a mixed online and lab-based sample. Participants spanning the full population distribution of paranoia played as proposers in a modified Trust Game: they were allocated a bonus and chose how much money to send to a pair of responders which was quadrupled before reaching these responders. Responders decided how much to return to the proposers through the same process. Participants played in one of two conditions: against a cohesive group who communicated and arrived at a joint decision, or a non-cohesive group who made independent decisions. After the exchange, proposers rated the extent to which the responders’ decisions were driven by (i) self-interest and (ii) intent to harm. Although the true motives are ambiguous, cohesive responders were reliably rated by participants as being more strongly motivated by intent to harm, indicating that group cohesion affects social threat perception. Highly paranoid participants attributed harmful intent more strongly overall but were equally reactive to social cohesion as other participants. This suggests that paranoia involves a generally lowered threshold for social threat detection but with an intact sensitivity for cohesion-related group characteristics.","container-title":"PeerJ","DOI":"10.7717/peerj.7403","ISSN":"2167-8359","language":"en","page":"e7403","source":"DOI.org (Crossref)","title":"Paranoia and conspiracy: group cohesion increases harmful intent attribution in the Trust Game","title-short":"Paranoia and conspiracy","volume":"7","author":[{"family":"Greenburgh","given":"Anna"},{"family":"Bell","given":"Vaughan"},{"family":"Raihani","given":"Nichola J."}],"issued":{"date-parts":[["2019",8,16]]}}},{"id":15873,"uris":["http://zotero.org/users/5126227/items/WNR25EFD"],"uri":["http://zotero.org/users/5126227/items/WNR25EFD"],"itemData":{"id":15873,"type":"article-journal","abstract":"Background. Psychosis is characterized by a profound lack of trust and disturbed social interactions. Investigating the neural basis of these deﬁcits is difﬁcult because of medication effects but ﬁrst-degree relatives show qualitatively similar abnormalities to patients with psychosis on various tasks. This study aimed to investigate neural activation in siblings of patients in response to an interactive task. We hypothesized that, compared to controls, siblings would show (i) less basic trust at the beginning of the task and (ii) reduced activation of the brain reward and mentalizing systems.\nMethod. Functional magnetic resonance imaging (fMRI) data were acquired on 50 healthy siblings of patients with psychosis and 33 healthy controls during a multi-round trust game with a cooperative counterpart. An a priori region-of-interest (ROI) analysis of the caudate, temporoparietal junction (TPJ), superior temporal sulcus (STS), insula and medial prefrontal cortex (mPFC) was performed focusing on the investment and repayment phases. An exploratory whole-brain analysis was run to test for group-wise differences outside these ROIs.\nResults. The siblings’ behaviour during the trust game did not differ signiﬁcantly from that of the controls. At the neural level, siblings showed reduced activation of the right caudate during investments, and the left insula during repayments. In addition, the whole-brain analysis revealed reduced putamen activation in siblings during investments.\nConclusions. The ﬁndings suggest that siblings show aberrant functioning of regions traditionally involved in reward processing in response to cooperation, which may be associated with the social reward deﬁcits observed in psychosis.","container-title":"Psychological Medicine","DOI":"10.1017/S0033291714000737","ISSN":"0033-2917, 1469-8978","issue":"16","journalAbbreviation":"Psychol. Med.","language":"en","page":"3445-3454","source":"DOI.org (Crossref)","title":"Reduced brain reward response during cooperation in first-degree relatives of patients with psychosis: an fMRI study","title-short":"Reduced brain reward response during cooperation in first-degree relatives of patients with psychosis","volume":"44","author":[{"family":"Gromann","given":"P. M."},{"family":"Shergill","given":"S. S."},{"family":"Haan","given":"L.","non-dropping-particle":"de"},{"family":"Meewis","given":"D. G. J."},{"family":"Fett","given":"A.-K. J."},{"family":"Korver-Nieberg","given":"N."},{"family":"Krabbendam","given":"L."}],"issued":{"date-parts":[["2014",12]]}}},{"id":"iyQYOOSa/giIG7oVm","uris":["http://zotero.org/users/5126227/items/HHYJ6GU5"],"uri":["http://zotero.org/users/5126227/items/HHYJ6GU5"],"itemData":{"id":"M4GSaceM/CFwKxk4k","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id":"iyQYOOSa/sfwBVY32","uris":["http://zotero.org/users/5126227/items/HC68TAUG"],"uri":["http://zotero.org/users/5126227/items/HC68TAUG"],"itemData":{"id":"M4GSaceM/uVQolOb2","type":"article-journal","title":"Paranoia and the social representation of others: a large-scale game theory approach","container-title":"Scientific Reports","page":"4544","volume":"7","issue":"1","abstract":"Current definitions of paranoia include two key components: unfounded ideas of harm and the idea that the harm is intended by others. However, attributions of harmful intent have been poorly studied and mainly using artificial scenarios rather than participation in genuine social interactions where genuine resources are at stake. Using a large non-clinical population (N = 3229) recruited online, we asked people to complete a measure of paranoid ideation before playing a modified Dictator Game, where the ‘dictator’ can allocate money to the partner (the ‘receiver’). Participants were allocated to the role of receiver or of an uninvolved observer; and evaluated to what extent they believed dictator decisions were motivated by (i) self-interest or (ii) harmful intent. All participants attributed more harmful intent to unfair as opposed to fair dictators. Paranoia had a positive effect on harmful intent attribution, for both fair and unfair dictators. Paranoia did not interact with attributions of self-interest. Importantly, highly paranoid participants attributed equally strong harmful intent to the dictator in the observer role as in the receiver role. This challenges the assumption that paranoia is mainly due to an exaggerated sense of personalised threat and suggests instead that paranoia involves a negative social representations of others.","DOI":"10.1038/s41598-017-04805-3","journalAbbreviation":"Scientific Reports","author":[{"family":"Raihani","given":"Nichola J"},{"family":"Bell","given":"Vaughan"}],"issued":{"date-parts":[["2017",7,3]]}}},{"id":9831,"uris":["http://zotero.org/users/5126227/items/QH9P4XVX"],"uri":["http://zotero.org/users/5126227/items/QH9P4XVX"],"itemData":{"id":9831,"type":"article-journal","abstract":"The ability to attribute intentions to others is a hallmark of human social cognition but is altered in paranoia. Paranoia is the most common positive symptom of psychosis but is also present to varying degrees in the general population. Epidemiological models suggest that psychosis risk is associated with low social rank and minority status, but the causal effects of status and group affiliation on paranoid thinking remain unclear. We examined whether relative social status and perceived group affiliation, respectively, affect live paranoid thinking using two large-N (N = 2030), pre-registered experiments. Interacting with someone from a higher social rank or a political out-group led to an increase in paranoid attributions of harmful intent for ambiguous actions. Pre-existing paranoia predicted a general increase in harmful intent attribution, but there was no interaction with either type of social threat: highly paranoid people showed the same magnitude of increase as non-paranoid people, although from a higher baseline. We conclude social threat in the form of low social status and out-group status affects paranoid attributions, but ongoing paranoia represents a lowered threshold for detecting social threat rather than an impaired reactivity to it.","container-title":"Royal Society Open Science","DOI":"10.1098/rsos.180569","issue":"8","journalAbbreviation":"Royal Society Open Science","page":"180569","source":"royalsocietypublishing.org (Atypon)","title":"Experimentally induced social threat increases paranoid thinking","volume":"5","author":[{"family":"Saalfeld","given":"Vaness"},{"family":"Ramadan","given":"Zeina"},{"family":"Bell","given":"Vaughan"},{"family":"Raihani","given":"Nichola J."}],"issued":{"date-parts":[["2018"]]}}}],"schema":"https://github.com/citation-style-language/schema/raw/master/csl-citation.json"} </w:instrText>
      </w:r>
      <w:r w:rsidR="0088525C" w:rsidRPr="00203879">
        <w:rPr>
          <w:rFonts w:eastAsiaTheme="minorEastAsia"/>
          <w:color w:val="000000" w:themeColor="text1"/>
        </w:rPr>
        <w:fldChar w:fldCharType="separate"/>
      </w:r>
      <w:r w:rsidR="00DB66A9" w:rsidRPr="00203879">
        <w:rPr>
          <w:rFonts w:eastAsiaTheme="minorEastAsia"/>
          <w:noProof/>
          <w:color w:val="000000" w:themeColor="text1"/>
        </w:rPr>
        <w:t>(Barnby et al., 2020; Fett et al., 2012; Greenburgh et al., 2019; Gromann et al., 2014; Raihani and Bell, 2017a, 2017b; Saalfeld et al., 2018)</w:t>
      </w:r>
      <w:r w:rsidR="0088525C" w:rsidRPr="00203879">
        <w:rPr>
          <w:rFonts w:eastAsiaTheme="minorEastAsia"/>
          <w:color w:val="000000" w:themeColor="text1"/>
        </w:rPr>
        <w:fldChar w:fldCharType="end"/>
      </w:r>
      <w:r w:rsidR="00380F4B" w:rsidRPr="00203879">
        <w:rPr>
          <w:rFonts w:eastAsiaTheme="minorEastAsia"/>
          <w:color w:val="000000" w:themeColor="text1"/>
        </w:rPr>
        <w:t xml:space="preserve">. </w:t>
      </w:r>
      <w:r w:rsidR="00EC3ABB" w:rsidRPr="00203879">
        <w:rPr>
          <w:rFonts w:eastAsiaTheme="minorEastAsia"/>
          <w:color w:val="000000" w:themeColor="text1"/>
        </w:rPr>
        <w:t>In particular, t</w:t>
      </w:r>
      <w:r w:rsidR="00BB4253" w:rsidRPr="00203879">
        <w:rPr>
          <w:rFonts w:eastAsiaTheme="minorEastAsia"/>
          <w:color w:val="000000" w:themeColor="text1"/>
        </w:rPr>
        <w:t>he Dictator Game</w:t>
      </w:r>
      <w:r w:rsidR="00513652" w:rsidRPr="00203879">
        <w:rPr>
          <w:rFonts w:eastAsiaTheme="minorEastAsia"/>
          <w:color w:val="000000" w:themeColor="text1"/>
        </w:rPr>
        <w:t xml:space="preserve"> </w:t>
      </w:r>
      <w:r w:rsidR="00513652" w:rsidRPr="00203879">
        <w:rPr>
          <w:rFonts w:eastAsiaTheme="minorEastAsia"/>
          <w:color w:val="000000" w:themeColor="text1"/>
        </w:rPr>
        <w:fldChar w:fldCharType="begin"/>
      </w:r>
      <w:r w:rsidR="00513652" w:rsidRPr="00203879">
        <w:rPr>
          <w:rFonts w:eastAsiaTheme="minorEastAsia"/>
          <w:color w:val="000000" w:themeColor="text1"/>
        </w:rPr>
        <w:instrText xml:space="preserve"> ADDIN ZOTERO_ITEM CSL_CITATION {"citationID":"GmvR1hRY","properties":{"formattedCitation":"(Kahneman et al., 1986)","plainCitation":"(Kahneman et al., 1986)","noteIndex":0},"citationItems":[{"id":4307,"uris":["http://zotero.org/users/5126227/items/6D3Y4RAW"],"uri":["http://zotero.org/users/5126227/items/6D3Y4RAW"],"itemData":{"id":4307,"type":"article-journal","abstract":"Community standards of fairness for the setting of prices and wages were elicited by telephone surveys. In customer or labor markets, it is acceptable for a firm to raise prices (or cut wages) when profits are threatened and to maintain prices when costs diminish. It is unfair to exploit shifts in demand by raising prices or cutting wages. Several market anomalies are explained by assuming that these standards of fairness influence the behavior of firms.","container-title":"The American Economic Review","DOI":"10.2307/1806070?ref=search-gateway:ab3049daed7cb27ef2183218faa0c388","issue":"4","language":"English","page":"728–741","title":"Fairness as a Constraint on Profit Seeking: Entitlements in the Market","volume":"76","author":[{"family":"Kahneman","given":"Daniel"},{"family":"Knetsch","given":"Jack L"},{"family":"Thaler","given":"Richard"}],"issued":{"date-parts":[["1986",9]]}}}],"schema":"https://github.com/citation-style-language/schema/raw/master/csl-citation.json"} </w:instrText>
      </w:r>
      <w:r w:rsidR="00513652" w:rsidRPr="00203879">
        <w:rPr>
          <w:rFonts w:eastAsiaTheme="minorEastAsia"/>
          <w:color w:val="000000" w:themeColor="text1"/>
        </w:rPr>
        <w:fldChar w:fldCharType="separate"/>
      </w:r>
      <w:r w:rsidR="00513652" w:rsidRPr="00203879">
        <w:rPr>
          <w:rFonts w:eastAsiaTheme="minorEastAsia"/>
          <w:noProof/>
          <w:color w:val="000000" w:themeColor="text1"/>
        </w:rPr>
        <w:t>(Kahneman et al., 1986)</w:t>
      </w:r>
      <w:r w:rsidR="00513652" w:rsidRPr="00203879">
        <w:rPr>
          <w:rFonts w:eastAsiaTheme="minorEastAsia"/>
          <w:color w:val="000000" w:themeColor="text1"/>
        </w:rPr>
        <w:fldChar w:fldCharType="end"/>
      </w:r>
      <w:r w:rsidR="00513652" w:rsidRPr="00203879">
        <w:rPr>
          <w:rFonts w:eastAsiaTheme="minorEastAsia"/>
          <w:color w:val="000000" w:themeColor="text1"/>
        </w:rPr>
        <w:t>, where one player (the dictator) receives money and can choose how much to send to the partner (the receiver),</w:t>
      </w:r>
      <w:r w:rsidR="00BB4253" w:rsidRPr="00203879">
        <w:rPr>
          <w:rFonts w:eastAsiaTheme="minorEastAsia"/>
          <w:color w:val="000000" w:themeColor="text1"/>
        </w:rPr>
        <w:t xml:space="preserve"> has been used to explore how variation in paranoia affects the </w:t>
      </w:r>
      <w:r w:rsidR="000D35C0" w:rsidRPr="00203879">
        <w:rPr>
          <w:rFonts w:eastAsiaTheme="minorEastAsia"/>
          <w:color w:val="000000" w:themeColor="text1"/>
        </w:rPr>
        <w:t xml:space="preserve">perception of </w:t>
      </w:r>
      <w:r w:rsidR="00BB4253" w:rsidRPr="00203879">
        <w:rPr>
          <w:rFonts w:eastAsiaTheme="minorEastAsia"/>
          <w:color w:val="000000" w:themeColor="text1"/>
        </w:rPr>
        <w:t>others</w:t>
      </w:r>
      <w:r w:rsidR="000D35C0" w:rsidRPr="00203879">
        <w:rPr>
          <w:rFonts w:eastAsiaTheme="minorEastAsia"/>
          <w:color w:val="000000" w:themeColor="text1"/>
        </w:rPr>
        <w:t>’ intentions</w:t>
      </w:r>
      <w:r w:rsidR="00FA1745" w:rsidRPr="00203879">
        <w:rPr>
          <w:rFonts w:eastAsiaTheme="minorEastAsia"/>
          <w:color w:val="000000" w:themeColor="text1"/>
        </w:rPr>
        <w:t xml:space="preserve"> </w:t>
      </w:r>
      <w:r w:rsidR="00FA1745" w:rsidRPr="00203879">
        <w:rPr>
          <w:rFonts w:eastAsiaTheme="minorEastAsia"/>
          <w:color w:val="000000" w:themeColor="text1"/>
        </w:rPr>
        <w:fldChar w:fldCharType="begin"/>
      </w:r>
      <w:r w:rsidR="004F69FD" w:rsidRPr="00203879">
        <w:rPr>
          <w:rFonts w:eastAsiaTheme="minorEastAsia"/>
          <w:color w:val="000000" w:themeColor="text1"/>
        </w:rPr>
        <w:instrText xml:space="preserve"> ADDIN ZOTERO_ITEM CSL_CITATION {"citationID":"8DNTopAI","properties":{"formattedCitation":"(Greenburgh et al., 2019; Raihani and Bell, 2017b; Saalfeld et al., 2018)","plainCitation":"(Greenburgh et al., 2019; Raihani and Bell, 2017b; Saalfeld et al., 2018)","noteIndex":0},"citationItems":[{"id":12723,"uris":["http://zotero.org/users/5126227/items/QA2HIE36"],"uri":["http://zotero.org/users/5126227/items/QA2HIE36"],"itemData":{"id":12723,"type":"article-journal","abstract":"Current theories argue that hyper-sensitisation of social threat perception is central to paranoia. Affected people often also report misperceptions of group cohesion (conspiracy) but little is known about the cognitive mechanisms underpinning this conspiracy thinking in live interactions. In a pre-registered experimental study, we used a large-scale game theory approach (\n              N\n               &gt; 1,000) to test whether the social cohesion of an opposing group affects paranoid attributions in a mixed online and lab-based sample. Participants spanning the full population distribution of paranoia played as proposers in a modified Trust Game: they were allocated a bonus and chose how much money to send to a pair of responders which was quadrupled before reaching these responders. Responders decided how much to return to the proposers through the same process. Participants played in one of two conditions: against a cohesive group who communicated and arrived at a joint decision, or a non-cohesive group who made independent decisions. After the exchange, proposers rated the extent to which the responders’ decisions were driven by (i) self-interest and (ii) intent to harm. Although the true motives are ambiguous, cohesive responders were reliably rated by participants as being more strongly motivated by intent to harm, indicating that group cohesion affects social threat perception. Highly paranoid participants attributed harmful intent more strongly overall but were equally reactive to social cohesion as other participants. This suggests that paranoia involves a generally lowered threshold for social threat detection but with an intact sensitivity for cohesion-related group characteristics.","container-title":"PeerJ","DOI":"10.7717/peerj.7403","ISSN":"2167-8359","language":"en","page":"e7403","source":"DOI.org (Crossref)","title":"Paranoia and conspiracy: group cohesion increases harmful intent attribution in the Trust Game","title-short":"Paranoia and conspiracy","volume":"7","author":[{"family":"Greenburgh","given":"Anna"},{"family":"Bell","given":"Vaughan"},{"family":"Raihani","given":"Nichola J."}],"issued":{"date-parts":[["2019",8,16]]}}},{"id":"iyQYOOSa/sfwBVY32","uris":["http://zotero.org/users/5126227/items/HC68TAUG"],"uri":["http://zotero.org/users/5126227/items/HC68TAUG"],"itemData":{"id":"SijO4vjg/GzVbpWV1","type":"article-journal","title":"Paranoia and the social representation of others: a large-scale game theory approach","container-title":"Scientific Reports","page":"4544","volume":"7","issue":"1","abstract":"Current definitions of paranoia include two key components: unfounded ideas of harm and the idea that the harm is intended by others. However, attributions of harmful intent have been poorly studied and mainly using artificial scenarios rather than participation in genuine social interactions where genuine resources are at stake. Using a large non-clinical population (N = 3229) recruited online, we asked people to complete a measure of paranoid ideation before playing a modified Dictator Game, where the ‘dictator’ can allocate money to the partner (the ‘receiver’). Participants were allocated to the role of receiver or of an uninvolved observer; and evaluated to what extent they believed dictator decisions were motivated by (i) self-interest or (ii) harmful intent. All participants attributed more harmful intent to unfair as opposed to fair dictators. Paranoia had a positive effect on harmful intent attribution, for both fair and unfair dictators. Paranoia did not interact with attributions of self-interest. Importantly, highly paranoid participants attributed equally strong harmful intent to the dictator in the observer role as in the receiver role. This challenges the assumption that paranoia is mainly due to an exaggerated sense of personalised threat and suggests instead that paranoia involves a negative social representations of others.","DOI":"10.1038/s41598-017-04805-3","journalAbbreviation":"Scientific Reports","author":[{"family":"Raihani","given":"Nichola J"},{"family":"Bell","given":"Vaughan"}],"issued":{"date-parts":[["2017",7,3]]}}},{"id":9831,"uris":["http://zotero.org/users/5126227/items/QH9P4XVX"],"uri":["http://zotero.org/users/5126227/items/QH9P4XVX"],"itemData":{"id":9831,"type":"article-journal","abstract":"The ability to attribute intentions to others is a hallmark of human social cognition but is altered in paranoia. Paranoia is the most common positive symptom of psychosis but is also present to varying degrees in the general population. Epidemiological models suggest that psychosis risk is associated with low social rank and minority status, but the causal effects of status and group affiliation on paranoid thinking remain unclear. We examined whether relative social status and perceived group affiliation, respectively, affect live paranoid thinking using two large-N (N = 2030), pre-registered experiments. Interacting with someone from a higher social rank or a political out-group led to an increase in paranoid attributions of harmful intent for ambiguous actions. Pre-existing paranoia predicted a general increase in harmful intent attribution, but there was no interaction with either type of social threat: highly paranoid people showed the same magnitude of increase as non-paranoid people, although from a higher baseline. We conclude social threat in the form of low social status and out-group status affects paranoid attributions, but ongoing paranoia represents a lowered threshold for detecting social threat rather than an impaired reactivity to it.","container-title":"Royal Society Open Science","DOI":"10.1098/rsos.180569","issue":"8","journalAbbreviation":"Royal Society Open Science","page":"180569","source":"royalsocietypublishing.org (Atypon)","title":"Experimentally induced social threat increases paranoid thinking","volume":"5","author":[{"family":"Saalfeld","given":"Vaness"},{"family":"Ramadan","given":"Zeina"},{"family":"Bell","given":"Vaughan"},{"family":"Raihani","given":"Nichola J."}],"issued":{"date-parts":[["2018"]]}}}],"schema":"https://github.com/citation-style-language/schema/raw/master/csl-citation.json"} </w:instrText>
      </w:r>
      <w:r w:rsidR="00FA1745" w:rsidRPr="00203879">
        <w:rPr>
          <w:rFonts w:eastAsiaTheme="minorEastAsia"/>
          <w:color w:val="000000" w:themeColor="text1"/>
        </w:rPr>
        <w:fldChar w:fldCharType="separate"/>
      </w:r>
      <w:r w:rsidR="00DB66A9" w:rsidRPr="00203879">
        <w:rPr>
          <w:rFonts w:eastAsiaTheme="minorEastAsia"/>
          <w:noProof/>
          <w:color w:val="000000" w:themeColor="text1"/>
        </w:rPr>
        <w:t>(Greenburgh et al., 2019; Raihani and Bell, 2017b; Saalfeld et al., 2018)</w:t>
      </w:r>
      <w:r w:rsidR="00FA1745" w:rsidRPr="00203879">
        <w:rPr>
          <w:rFonts w:eastAsiaTheme="minorEastAsia"/>
          <w:color w:val="000000" w:themeColor="text1"/>
        </w:rPr>
        <w:fldChar w:fldCharType="end"/>
      </w:r>
      <w:r w:rsidR="00BB4253" w:rsidRPr="00203879">
        <w:rPr>
          <w:rFonts w:eastAsiaTheme="minorEastAsia"/>
          <w:color w:val="000000" w:themeColor="text1"/>
        </w:rPr>
        <w:t>.</w:t>
      </w:r>
      <w:r w:rsidR="00513652" w:rsidRPr="00203879">
        <w:rPr>
          <w:rFonts w:eastAsiaTheme="minorEastAsia"/>
          <w:color w:val="000000" w:themeColor="text1"/>
        </w:rPr>
        <w:t xml:space="preserve"> </w:t>
      </w:r>
      <w:r w:rsidR="008C33A0" w:rsidRPr="00203879">
        <w:rPr>
          <w:rFonts w:eastAsiaTheme="minorEastAsia"/>
          <w:color w:val="000000" w:themeColor="text1"/>
        </w:rPr>
        <w:t>T</w:t>
      </w:r>
      <w:r w:rsidR="00BB4253" w:rsidRPr="00203879">
        <w:rPr>
          <w:rFonts w:eastAsiaTheme="minorEastAsia"/>
          <w:color w:val="000000" w:themeColor="text1"/>
        </w:rPr>
        <w:t xml:space="preserve">he motives underpinning dictator decisions </w:t>
      </w:r>
      <w:r w:rsidR="00513652" w:rsidRPr="00203879">
        <w:rPr>
          <w:rFonts w:eastAsiaTheme="minorEastAsia"/>
          <w:color w:val="000000" w:themeColor="text1"/>
        </w:rPr>
        <w:t xml:space="preserve">remain </w:t>
      </w:r>
      <w:r w:rsidR="00BB4253" w:rsidRPr="00203879">
        <w:rPr>
          <w:rFonts w:eastAsiaTheme="minorEastAsia"/>
          <w:color w:val="000000" w:themeColor="text1"/>
        </w:rPr>
        <w:t>ambiguous</w:t>
      </w:r>
      <w:r w:rsidR="00513652" w:rsidRPr="00203879">
        <w:rPr>
          <w:rFonts w:eastAsiaTheme="minorEastAsia"/>
          <w:color w:val="000000" w:themeColor="text1"/>
        </w:rPr>
        <w:t xml:space="preserve"> but </w:t>
      </w:r>
      <w:r w:rsidR="000D35C0" w:rsidRPr="00203879">
        <w:rPr>
          <w:rFonts w:eastAsiaTheme="minorEastAsia"/>
          <w:color w:val="000000" w:themeColor="text1"/>
        </w:rPr>
        <w:t>participants</w:t>
      </w:r>
      <w:r w:rsidR="00513652" w:rsidRPr="00203879">
        <w:rPr>
          <w:rFonts w:eastAsiaTheme="minorEastAsia"/>
          <w:color w:val="000000" w:themeColor="text1"/>
        </w:rPr>
        <w:t xml:space="preserve"> reporting high levels of </w:t>
      </w:r>
      <w:r w:rsidR="00BB4253" w:rsidRPr="00203879">
        <w:rPr>
          <w:rFonts w:eastAsiaTheme="minorEastAsia"/>
          <w:color w:val="000000" w:themeColor="text1"/>
        </w:rPr>
        <w:t>paranoi</w:t>
      </w:r>
      <w:r w:rsidR="00513652" w:rsidRPr="00203879">
        <w:rPr>
          <w:rFonts w:eastAsiaTheme="minorEastAsia"/>
          <w:color w:val="000000" w:themeColor="text1"/>
        </w:rPr>
        <w:t xml:space="preserve">d ideation show an </w:t>
      </w:r>
      <w:r w:rsidR="00BB4253" w:rsidRPr="00203879">
        <w:rPr>
          <w:rFonts w:eastAsiaTheme="minorEastAsia"/>
          <w:color w:val="000000" w:themeColor="text1"/>
        </w:rPr>
        <w:t xml:space="preserve">increased tendency to attribute harmful intent, but not self-interest, to dictators in </w:t>
      </w:r>
      <w:r w:rsidR="00110C27" w:rsidRPr="00203879">
        <w:rPr>
          <w:rFonts w:eastAsiaTheme="minorEastAsia"/>
          <w:color w:val="000000" w:themeColor="text1"/>
        </w:rPr>
        <w:t>this game</w:t>
      </w:r>
      <w:r w:rsidR="005F025D" w:rsidRPr="00203879">
        <w:rPr>
          <w:rFonts w:eastAsiaTheme="minorEastAsia"/>
          <w:color w:val="000000" w:themeColor="text1"/>
        </w:rPr>
        <w:t xml:space="preserve"> </w:t>
      </w:r>
      <w:r w:rsidR="005F025D" w:rsidRPr="00203879">
        <w:rPr>
          <w:rFonts w:eastAsiaTheme="minorEastAsia"/>
          <w:color w:val="000000" w:themeColor="text1"/>
        </w:rPr>
        <w:fldChar w:fldCharType="begin"/>
      </w:r>
      <w:r w:rsidR="004F69FD" w:rsidRPr="00203879">
        <w:rPr>
          <w:rFonts w:eastAsiaTheme="minorEastAsia"/>
          <w:color w:val="000000" w:themeColor="text1"/>
        </w:rPr>
        <w:instrText xml:space="preserve"> ADDIN ZOTERO_ITEM CSL_CITATION {"citationID":"QhNm6gYX","properties":{"formattedCitation":"(Barnby et al., 2020; Raihani and Bell, 2017b)","plainCitation":"(Barnby et al., 2020; Raihani and Bell, 2017b)","noteIndex":0},"citationItems":[{"id":15185,"uris":["http://zotero.org/users/5126227/items/N292RGPZ"],"uri":["http://zotero.org/users/5126227/items/N292RGPZ"],"itemData":{"id":15185,"type":"article-journal","abstract":"The sensitization model suggests that paranoia is explained by over-sensitivity to social threat. However, this has been difficult to test experimentally. We report two preregistered social interaction studies that tested (i) whether paranoia predicted overall attribution and peak attribution of harmful intent and (ii) whether anxiety, interpersonal sensitivity and worry predicted the attribution of harmful intent. In Study 1, we recruited a large general population sample (N = 987) who serially interacted with other participants in multi-round dictator games and matched to fair, partially fair or unfair partners. Participants rated attributions of harmful intent and self-interest after each interaction. In Study 2 (N = 1011), a new sample of participants completed the same procedure and additionally completed measures of anxiety, worry and interpersonal sensitivity. As predicted, prior paranoid ideation was associated with higher and faster overall harmful intent attributions, whereas attributions of self-interest were unaffected, supporting the sensitization model. Contrary to predictions, neither worry, interpersonal sensitivity nor anxiety was associated with harmful intent attributions. In a third exploratory internal meta-analysis, we combined datasets to examine the effect of paranoia on trial-by-trial attributional changes when playing fair and unfair dictators. Paranoia was associated with a greater reduction in harmful intent attributions when playing a fair but not unfair dictator, suggesting that paranoia may also exaggerate the volatility of beliefs about the harmful intent of others.","container-title":"Royal Society Open Science","DOI":"10.1098/rsos.191525","issue":"3","journalAbbreviation":"Royal Society Open Science","note":"publisher: Royal Society","page":"191525","source":"royalsocietypublishing.org (Atypon)","title":"Paranoia, sensitization and social inference: findings from two large-scale, multi-round behavioural experiments","title-short":"Paranoia, sensitization and social inference","volume":"7","author":[{"family":"Barnby","given":"J. M."},{"family":"Deeley","given":"Q."},{"family":"Robinson","given":"O."},{"family":"Raihani","given":"N."},{"family":"Bell","given":"V."},{"family":"Mehta","given":"M. A."}],"issued":{"date-parts":[["2020"]]}}},{"id":"iyQYOOSa/sfwBVY32","uris":["http://zotero.org/users/5126227/items/HC68TAUG"],"uri":["http://zotero.org/users/5126227/items/HC68TAUG"],"itemData":{"id":"M4GSaceM/uVQolOb2","type":"article-journal","title":"Paranoia and the social representation of others: a large-scale game theory approach","container-title":"Scientific Reports","page":"4544","volume":"7","issue":"1","abstract":"Current definitions of paranoia include two key components: unfounded ideas of harm and the idea that the harm is intended by others. However, attributions of harmful intent have been poorly studied and mainly using artificial scenarios rather than participation in genuine social interactions where genuine resources are at stake. Using a large non-clinical population (N = 3229) recruited online, we asked people to complete a measure of paranoid ideation before playing a modified Dictator Game, where the ‘dictator’ can allocate money to the partner (the ‘receiver’). Participants were allocated to the role of receiver or of an uninvolved observer; and evaluated to what extent they believed dictator decisions were motivated by (i) self-interest or (ii) harmful intent. All participants attributed more harmful intent to unfair as opposed to fair dictators. Paranoia had a positive effect on harmful intent attribution, for both fair and unfair dictators. Paranoia did not interact with attributions of self-interest. Importantly, highly paranoid participants attributed equally strong harmful intent to the dictator in the observer role as in the receiver role. This challenges the assumption that paranoia is mainly due to an exaggerated sense of personalised threat and suggests instead that paranoia involves a negative social representations of others.","DOI":"10.1038/s41598-017-04805-3","journalAbbreviation":"Scientific Reports","author":[{"family":"Raihani","given":"Nichola J"},{"family":"Bell","given":"Vaughan"}],"issued":{"date-parts":[["2017",7,3]]}}}],"schema":"https://github.com/citation-style-language/schema/raw/master/csl-citation.json"} </w:instrText>
      </w:r>
      <w:r w:rsidR="005F025D" w:rsidRPr="00203879">
        <w:rPr>
          <w:rFonts w:eastAsiaTheme="minorEastAsia"/>
          <w:color w:val="000000" w:themeColor="text1"/>
        </w:rPr>
        <w:fldChar w:fldCharType="separate"/>
      </w:r>
      <w:r w:rsidR="005F025D" w:rsidRPr="00203879">
        <w:rPr>
          <w:rFonts w:eastAsiaTheme="minorEastAsia"/>
          <w:noProof/>
          <w:color w:val="000000" w:themeColor="text1"/>
        </w:rPr>
        <w:t>(Barnby et al., 2020; Raihani and Bell, 2017b)</w:t>
      </w:r>
      <w:r w:rsidR="005F025D" w:rsidRPr="00203879">
        <w:rPr>
          <w:rFonts w:eastAsiaTheme="minorEastAsia"/>
          <w:color w:val="000000" w:themeColor="text1"/>
        </w:rPr>
        <w:fldChar w:fldCharType="end"/>
      </w:r>
      <w:r w:rsidR="00513652" w:rsidRPr="00203879">
        <w:rPr>
          <w:rFonts w:eastAsiaTheme="minorEastAsia"/>
          <w:color w:val="000000" w:themeColor="text1"/>
        </w:rPr>
        <w:t xml:space="preserve"> </w:t>
      </w:r>
      <w:r w:rsidR="000D35C0" w:rsidRPr="00203879">
        <w:rPr>
          <w:rFonts w:eastAsiaTheme="minorEastAsia"/>
          <w:color w:val="000000" w:themeColor="text1"/>
        </w:rPr>
        <w:t xml:space="preserve">which </w:t>
      </w:r>
      <w:r w:rsidR="00513652" w:rsidRPr="00203879">
        <w:rPr>
          <w:rFonts w:eastAsiaTheme="minorEastAsia"/>
          <w:color w:val="000000" w:themeColor="text1"/>
        </w:rPr>
        <w:t xml:space="preserve">is modified by the </w:t>
      </w:r>
      <w:r w:rsidR="000D35C0" w:rsidRPr="00203879">
        <w:rPr>
          <w:rFonts w:eastAsiaTheme="minorEastAsia"/>
          <w:color w:val="000000" w:themeColor="text1"/>
        </w:rPr>
        <w:t xml:space="preserve">perceived group </w:t>
      </w:r>
      <w:r w:rsidR="00513652" w:rsidRPr="00203879">
        <w:rPr>
          <w:rFonts w:eastAsiaTheme="minorEastAsia"/>
          <w:color w:val="000000" w:themeColor="text1"/>
        </w:rPr>
        <w:t>characteristics of the partner</w:t>
      </w:r>
      <w:r w:rsidR="005F025D" w:rsidRPr="00203879">
        <w:rPr>
          <w:rFonts w:eastAsiaTheme="minorEastAsia"/>
          <w:color w:val="000000" w:themeColor="text1"/>
        </w:rPr>
        <w:t xml:space="preserve"> </w:t>
      </w:r>
      <w:r w:rsidR="005F025D" w:rsidRPr="00203879">
        <w:rPr>
          <w:rFonts w:eastAsiaTheme="minorEastAsia"/>
          <w:color w:val="000000" w:themeColor="text1"/>
        </w:rPr>
        <w:fldChar w:fldCharType="begin"/>
      </w:r>
      <w:r w:rsidR="00DB66A9" w:rsidRPr="00203879">
        <w:rPr>
          <w:rFonts w:eastAsiaTheme="minorEastAsia"/>
          <w:color w:val="000000" w:themeColor="text1"/>
        </w:rPr>
        <w:instrText xml:space="preserve"> ADDIN ZOTERO_ITEM CSL_CITATION {"citationID":"rLzAG46b","properties":{"formattedCitation":"(Greenburgh et al., 2019; Saalfeld et al., 2018)","plainCitation":"(Greenburgh et al., 2019; Saalfeld et al., 2018)","noteIndex":0},"citationItems":[{"id":12723,"uris":["http://zotero.org/users/5126227/items/QA2HIE36"],"uri":["http://zotero.org/users/5126227/items/QA2HIE36"],"itemData":{"id":12723,"type":"article-journal","abstract":"Current theories argue that hyper-sensitisation of social threat perception is central to paranoia. Affected people often also report misperceptions of group cohesion (conspiracy) but little is known about the cognitive mechanisms underpinning this conspiracy thinking in live interactions. In a pre-registered experimental study, we used a large-scale game theory approach (\n              N\n               &gt; 1,000) to test whether the social cohesion of an opposing group affects paranoid attributions in a mixed online and lab-based sample. Participants spanning the full population distribution of paranoia played as proposers in a modified Trust Game: they were allocated a bonus and chose how much money to send to a pair of responders which was quadrupled before reaching these responders. Responders decided how much to return to the proposers through the same process. Participants played in one of two conditions: against a cohesive group who communicated and arrived at a joint decision, or a non-cohesive group who made independent decisions. After the exchange, proposers rated the extent to which the responders’ decisions were driven by (i) self-interest and (ii) intent to harm. Although the true motives are ambiguous, cohesive responders were reliably rated by participants as being more strongly motivated by intent to harm, indicating that group cohesion affects social threat perception. Highly paranoid participants attributed harmful intent more strongly overall but were equally reactive to social cohesion as other participants. This suggests that paranoia involves a generally lowered threshold for social threat detection but with an intact sensitivity for cohesion-related group characteristics.","container-title":"PeerJ","DOI":"10.7717/peerj.7403","ISSN":"2167-8359","language":"en","page":"e7403","source":"DOI.org (Crossref)","title":"Paranoia and conspiracy: group cohesion increases harmful intent attribution in the Trust Game","title-short":"Paranoia and conspiracy","volume":"7","author":[{"family":"Greenburgh","given":"Anna"},{"family":"Bell","given":"Vaughan"},{"family":"Raihani","given":"Nichola J."}],"issued":{"date-parts":[["2019",8,16]]}}},{"id":9831,"uris":["http://zotero.org/users/5126227/items/QH9P4XVX"],"uri":["http://zotero.org/users/5126227/items/QH9P4XVX"],"itemData":{"id":9831,"type":"article-journal","abstract":"The ability to attribute intentions to others is a hallmark of human social cognition but is altered in paranoia. Paranoia is the most common positive symptom of psychosis but is also present to varying degrees in the general population. Epidemiological models suggest that psychosis risk is associated with low social rank and minority status, but the causal effects of status and group affiliation on paranoid thinking remain unclear. We examined whether relative social status and perceived group affiliation, respectively, affect live paranoid thinking using two large-N (N = 2030), pre-registered experiments. Interacting with someone from a higher social rank or a political out-group led to an increase in paranoid attributions of harmful intent for ambiguous actions. Pre-existing paranoia predicted a general increase in harmful intent attribution, but there was no interaction with either type of social threat: highly paranoid people showed the same magnitude of increase as non-paranoid people, although from a higher baseline. We conclude social threat in the form of low social status and out-group status affects paranoid attributions, but ongoing paranoia represents a lowered threshold for detecting social threat rather than an impaired reactivity to it.","container-title":"Royal Society Open Science","DOI":"10.1098/rsos.180569","issue":"8","journalAbbreviation":"Royal Society Open Science","page":"180569","source":"royalsocietypublishing.org (Atypon)","title":"Experimentally induced social threat increases paranoid thinking","volume":"5","author":[{"family":"Saalfeld","given":"Vaness"},{"family":"Ramadan","given":"Zeina"},{"family":"Bell","given":"Vaughan"},{"family":"Raihani","given":"Nichola J."}],"issued":{"date-parts":[["2018"]]}}}],"schema":"https://github.com/citation-style-language/schema/raw/master/csl-citation.json"} </w:instrText>
      </w:r>
      <w:r w:rsidR="005F025D" w:rsidRPr="00203879">
        <w:rPr>
          <w:rFonts w:eastAsiaTheme="minorEastAsia"/>
          <w:color w:val="000000" w:themeColor="text1"/>
        </w:rPr>
        <w:fldChar w:fldCharType="separate"/>
      </w:r>
      <w:r w:rsidR="00DB66A9" w:rsidRPr="00203879">
        <w:rPr>
          <w:rFonts w:eastAsiaTheme="minorEastAsia"/>
          <w:noProof/>
          <w:color w:val="000000" w:themeColor="text1"/>
        </w:rPr>
        <w:t>(Greenburgh et al., 2019; Saalfeld et al., 2018)</w:t>
      </w:r>
      <w:r w:rsidR="005F025D" w:rsidRPr="00203879">
        <w:rPr>
          <w:rFonts w:eastAsiaTheme="minorEastAsia"/>
          <w:color w:val="000000" w:themeColor="text1"/>
        </w:rPr>
        <w:fldChar w:fldCharType="end"/>
      </w:r>
      <w:r w:rsidR="005F025D" w:rsidRPr="00203879">
        <w:rPr>
          <w:rFonts w:eastAsiaTheme="minorEastAsia"/>
          <w:color w:val="000000" w:themeColor="text1"/>
        </w:rPr>
        <w:t>.</w:t>
      </w:r>
      <w:r w:rsidR="00513652" w:rsidRPr="00203879">
        <w:rPr>
          <w:rFonts w:eastAsiaTheme="minorEastAsia"/>
          <w:color w:val="000000" w:themeColor="text1"/>
        </w:rPr>
        <w:t xml:space="preserve"> </w:t>
      </w:r>
    </w:p>
    <w:p w14:paraId="3B40CD2E" w14:textId="77777777" w:rsidR="00BB4253" w:rsidRDefault="00BB4253" w:rsidP="00164E47">
      <w:pPr>
        <w:autoSpaceDE w:val="0"/>
        <w:autoSpaceDN w:val="0"/>
        <w:adjustRightInd w:val="0"/>
        <w:spacing w:line="360" w:lineRule="auto"/>
        <w:jc w:val="both"/>
        <w:rPr>
          <w:rFonts w:eastAsiaTheme="minorEastAsia"/>
        </w:rPr>
      </w:pPr>
    </w:p>
    <w:p w14:paraId="279C28A7" w14:textId="72C69DAD" w:rsidR="00F75A5B" w:rsidRPr="002D69FC" w:rsidRDefault="00F75A5B" w:rsidP="00164E47">
      <w:pPr>
        <w:autoSpaceDE w:val="0"/>
        <w:autoSpaceDN w:val="0"/>
        <w:adjustRightInd w:val="0"/>
        <w:spacing w:line="360" w:lineRule="auto"/>
        <w:jc w:val="both"/>
        <w:rPr>
          <w:rFonts w:eastAsiaTheme="minorEastAsia"/>
          <w:color w:val="000000" w:themeColor="text1"/>
        </w:rPr>
      </w:pPr>
      <w:r w:rsidRPr="002D69FC">
        <w:rPr>
          <w:rFonts w:eastAsiaTheme="minorEastAsia"/>
          <w:color w:val="000000" w:themeColor="text1"/>
        </w:rPr>
        <w:lastRenderedPageBreak/>
        <w:t>In addition to social inference, g</w:t>
      </w:r>
      <w:r w:rsidR="004F69FD" w:rsidRPr="002D69FC">
        <w:rPr>
          <w:rFonts w:eastAsiaTheme="minorEastAsia"/>
          <w:color w:val="000000" w:themeColor="text1"/>
        </w:rPr>
        <w:t xml:space="preserve">ame-theoretic paradigms can also be used to explore how social decision-making varies in paranoia and in psychosis. Several studies have reported reductions in cooperation </w:t>
      </w:r>
      <w:r w:rsidR="004F69FD" w:rsidRPr="002D69FC">
        <w:rPr>
          <w:rFonts w:eastAsiaTheme="minorEastAsia"/>
          <w:color w:val="000000" w:themeColor="text1"/>
        </w:rPr>
        <w:fldChar w:fldCharType="begin"/>
      </w:r>
      <w:r w:rsidR="004F69FD" w:rsidRPr="002D69FC">
        <w:rPr>
          <w:rFonts w:eastAsiaTheme="minorEastAsia"/>
          <w:color w:val="000000" w:themeColor="text1"/>
        </w:rPr>
        <w:instrText xml:space="preserve"> ADDIN ZOTERO_ITEM CSL_CITATION {"citationID":"DRZPfNDU","properties":{"unsorted":true,"formattedCitation":"(Hanssen et al., 2018; Raihani and Bell, 2017a)","plainCitation":"(Hanssen et al., 2018; Raihani and Bell, 2017a)","noteIndex":0},"citationItems":[{"id":15858,"uris":["http://zotero.org/users/5126227/items/DP2FCUQT"],"uri":["http://zotero.org/users/5126227/items/DP2FCUQT"],"itemData":{"id":15858,"type":"article-journal","abstract":"Patients with schizophrenia show reduced cooperation and less sensitivity to social cues in pairwise interactions, however, it remains unclear whether these mechanisms are also present in interactions within social groups. We used a public goods game to investigate cooperation and sensitivity to social feedback in group interactions in 27 patients with schizophrenia and 27 healthy controls. Participants played 40 trials in two conditions: 1) no fine (20 trials): participants had the choice of investing into the public good (i.e. cooperating) or not (i.e. defecting), 2) fine (20 trials): participants had the same choice but defectors could be punished by the other players. On the first trial, patients invested less in the public good than healthy controls. In the no fine condition, controls decreased their investments over time, but patients did not. The possibility of being fined for defecting and actually being fined led to significantly higher cooperation in both groups. This shows that the groups were equally sensitive to social enforcement and social feedback. Our findings suggest that patients tend to approach social group interactions with less cooperative behaviour, which could contribute to social dysfunction in daily-life. However, an intact sensitivity to social enforcement and feedback indicates that patients can adjust their behaviour accordingly in group interactions.","container-title":"Schizophrenia Research","DOI":"10.1016/j.schres.2018.06.065","ISSN":"0920-9964","journalAbbreviation":"Schizophrenia Research","language":"en","page":"361-368","source":"ScienceDirect","title":"Cooperation and sensitivity to social feedback during group interactions in schizophrenia","volume":"202","author":[{"family":"Hanssen","given":"Esther"},{"family":"Fett","given":"Anne-Kathrin"},{"family":"White","given":"Thomas P."},{"family":"Caddy","given":"Caroline"},{"family":"Reimers","given":"Stian"},{"family":"Shergill","given":"Sukhi S."}],"issued":{"date-parts":[["2018",12,1]]}}},{"id":"iyQYOOSa/giIG7oVm","uris":["http://zotero.org/users/5126227/items/HHYJ6GU5"],"uri":["http://zotero.org/users/5126227/items/HHYJ6GU5"],"itemData":{"id":"iyQYOOSa/giIG7oVm","type":"article-journal","title":"Conflict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J"},{"family":"Bell","given":"V"}],"issued":{"date-parts":[["2017",10]]}}}],"schema":"https://github.com/citation-style-language/schema/raw/master/csl-citation.json"} </w:instrText>
      </w:r>
      <w:r w:rsidR="004F69FD" w:rsidRPr="002D69FC">
        <w:rPr>
          <w:rFonts w:eastAsiaTheme="minorEastAsia"/>
          <w:color w:val="000000" w:themeColor="text1"/>
        </w:rPr>
        <w:fldChar w:fldCharType="separate"/>
      </w:r>
      <w:r w:rsidR="004F69FD" w:rsidRPr="002D69FC">
        <w:rPr>
          <w:rFonts w:eastAsiaTheme="minorEastAsia"/>
          <w:noProof/>
          <w:color w:val="000000" w:themeColor="text1"/>
        </w:rPr>
        <w:t>(Hanssen et al., 2018; Raihani and Bell, 2017a)</w:t>
      </w:r>
      <w:r w:rsidR="004F69FD" w:rsidRPr="002D69FC">
        <w:rPr>
          <w:rFonts w:eastAsiaTheme="minorEastAsia"/>
          <w:color w:val="000000" w:themeColor="text1"/>
        </w:rPr>
        <w:fldChar w:fldCharType="end"/>
      </w:r>
      <w:r w:rsidR="004F69FD" w:rsidRPr="002D69FC">
        <w:rPr>
          <w:rFonts w:eastAsiaTheme="minorEastAsia"/>
          <w:color w:val="000000" w:themeColor="text1"/>
        </w:rPr>
        <w:t xml:space="preserve"> and trust </w:t>
      </w:r>
      <w:r w:rsidR="004F69FD" w:rsidRPr="002D69FC">
        <w:rPr>
          <w:rFonts w:eastAsiaTheme="minorEastAsia"/>
          <w:color w:val="000000" w:themeColor="text1"/>
        </w:rPr>
        <w:fldChar w:fldCharType="begin"/>
      </w:r>
      <w:r w:rsidR="004F69FD" w:rsidRPr="002D69FC">
        <w:rPr>
          <w:rFonts w:eastAsiaTheme="minorEastAsia"/>
          <w:color w:val="000000" w:themeColor="text1"/>
        </w:rPr>
        <w:instrText xml:space="preserve"> ADDIN ZOTERO_ITEM CSL_CITATION {"citationID":"bz9ULoXe","properties":{"formattedCitation":"(Fett et al., 2012; Gromann et al., 2013; Lemmers-Jansen et al., 2019)","plainCitation":"(Fett et al., 2012; Gromann et al., 2013; Lemmers-Jansen et al., 2019)","noteIndex":0},"citationItems":[{"id":865,"uris":["http://zotero.org/users/5126227/items/QFJ9MJNE"],"uri":["http://zotero.org/users/5126227/items/QFJ9MJNE"],"itemData":{"id":865,"type":"article-journal","abstract":"... Brain: 139 (2). Editor. Dimitri M. Kullmann. Impact factor 9.196 5 Year impact factor 10.418. Published on behalf of The Guarantors of Brain. To trust or not to trust : the dynamics of social interaction in psychosis . Anne-Kathrin J. Fett ...","container-title":"Brain","DOI":"10.1093/brain/awr359","issue":"3","language":"English","page":"976–984","title":"To trust or not to trust: the dynamics of social interaction in psychosis","volume":"135","author":[{"family":"Fett","given":"AKJ"},{"family":"Shergill","given":"S S"},{"family":"Joyce","given":"D W"},{"family":"Riedl","given":"A"},{"family":"Strobel","given":"M"}],"issued":{"date-parts":[["2012"]]}}},{"id":3229,"uris":["http://zotero.org/users/5126227/items/HBM28ZGZ"],"uri":["http://zotero.org/users/5126227/items/HBM28ZGZ"],"itemData":{"id":3229,"type":"article-journal","abstract":"Abstract.  Psychosis is characterized by an elementary lack of trust in others. Trust is an inherently rewarding aspect of successful social interactions and ca","container-title":"Brain","DOI":"10.1093/brain/awt076","ISSN":"0006-8950","issue":"6","journalAbbreviation":"Brain","language":"en","page":"1968-1975","source":"academic.oup.com","title":"Trust versus paranoia: abnormal response to social reward in psychotic illness","title-short":"Trust versus paranoia","volume":"136","author":[{"family":"Gromann","given":"Paula M."},{"family":"Heslenfeld","given":"Dirk J."},{"family":"Fett","given":"Anne-Kathrin"},{"family":"Joyce","given":"Dan W."},{"family":"Shergill","given":"Sukhi S."},{"family":"Krabbendam","given":"Lydia"}],"issued":{"date-parts":[["2013",6,1]]}}},{"id":15862,"uris":["http://zotero.org/users/5126227/items/Q2EKARLD"],"uri":["http://zotero.org/users/5126227/items/Q2EKARLD"],"itemData":{"id":15862,"type":"article-journal","abstract":"Background. Psychosis is characterized by problems in social functioning that exist well before illness onset, and in individuals at clinical high risk (CHR) for psychosis. Trust is an essential element for social interactions that is impaired in psychosis. In the trust game, chronic patients showed reduced baseline trust, impaired response to positive social feedback, and attenuated brain activation in reward and mentalizing areas. We investigated whether first-episode psychosis patients (FEP) and CHR show similar abnormalities in the neural and behavioral mechanisms underlying trust.\nMethods. Twenty-two FEP, 17 CHR, and 43 healthy controls performed two trust games, with a cooperative and an unfair partner in the fMRI scanner. Region of interest analyses were performed on mentalizing and reward processing areas, during the investment and outcome phases of the games.\nResults. Compared with healthy controls, FEP and CHR showed reduced baseline trust, but like controls, learned to trust in response to cooperative and unfair feedback. Symptom severity was not associated with baseline trust, however in FEP associated with reduced response to feedback. The only group differences in brain activation were that CHR recruited the temporo-parietal junction (TPJ) more than FEP and controls during investment in the unfair condition. This hyper-activation in CHR was associated with greater symptom severity.\nConclusions. Reduced baseline trust may be associated with risk for psychotic illness, or generally with poor mental health. Feedback learning is still intact in CHR and FEP, as opposed to chronic patients. CHR however show distinct neural activation patterns of hyper-activation of the TPJ.","container-title":"Psychological Medicine","DOI":"10.1017/S003329171800140X","ISSN":"0033-2917, 1469-8978","issue":"5","journalAbbreviation":"Psychol. Med.","language":"en","page":"780-790","source":"DOI.org (Crossref)","title":"Learning to trust: social feedback normalizes trust behavior in first-episode psychosis and clinical high risk","title-short":"Learning to trust","volume":"49","author":[{"family":"Lemmers-Jansen","given":"Imke L. J."},{"family":"Fett","given":"Anne-Kathrin J."},{"family":"Hanssen","given":"Esther"},{"family":"Veltman","given":"Dick J."},{"family":"Krabbendam","given":"Lydia"}],"issued":{"date-parts":[["2019",4]]}}}],"schema":"https://github.com/citation-style-language/schema/raw/master/csl-citation.json"} </w:instrText>
      </w:r>
      <w:r w:rsidR="004F69FD" w:rsidRPr="002D69FC">
        <w:rPr>
          <w:rFonts w:eastAsiaTheme="minorEastAsia"/>
          <w:color w:val="000000" w:themeColor="text1"/>
        </w:rPr>
        <w:fldChar w:fldCharType="separate"/>
      </w:r>
      <w:r w:rsidR="004F69FD" w:rsidRPr="002D69FC">
        <w:rPr>
          <w:rFonts w:eastAsiaTheme="minorEastAsia"/>
          <w:noProof/>
          <w:color w:val="000000" w:themeColor="text1"/>
        </w:rPr>
        <w:t>(Fett et al., 2012; Gromann et al., 2013; Lemmers-Jansen et al., 2019)</w:t>
      </w:r>
      <w:r w:rsidR="004F69FD" w:rsidRPr="002D69FC">
        <w:rPr>
          <w:rFonts w:eastAsiaTheme="minorEastAsia"/>
          <w:color w:val="000000" w:themeColor="text1"/>
        </w:rPr>
        <w:fldChar w:fldCharType="end"/>
      </w:r>
      <w:r w:rsidR="004F69FD" w:rsidRPr="002D69FC">
        <w:rPr>
          <w:rFonts w:eastAsiaTheme="minorEastAsia"/>
          <w:color w:val="000000" w:themeColor="text1"/>
        </w:rPr>
        <w:t xml:space="preserve"> in paranoia</w:t>
      </w:r>
      <w:r w:rsidR="0060258B" w:rsidRPr="002D69FC">
        <w:rPr>
          <w:rFonts w:eastAsiaTheme="minorEastAsia"/>
          <w:color w:val="000000" w:themeColor="text1"/>
        </w:rPr>
        <w:t>. This has been conceptualised as the result of altered social reward learning mediated by changes to mesolimbic dopamine function (</w:t>
      </w:r>
      <w:r w:rsidR="00E60FE0" w:rsidRPr="002D69FC">
        <w:rPr>
          <w:rFonts w:eastAsiaTheme="minorEastAsia"/>
          <w:color w:val="000000" w:themeColor="text1"/>
        </w:rPr>
        <w:t>e.g.</w:t>
      </w:r>
      <w:r w:rsidR="002D69FC" w:rsidRPr="002D69FC">
        <w:rPr>
          <w:rFonts w:eastAsiaTheme="minorEastAsia"/>
          <w:color w:val="000000" w:themeColor="text1"/>
        </w:rPr>
        <w:t xml:space="preserve"> </w:t>
      </w:r>
      <w:r w:rsidR="002D69FC" w:rsidRPr="002D69FC">
        <w:rPr>
          <w:rFonts w:eastAsiaTheme="minorEastAsia"/>
          <w:color w:val="000000" w:themeColor="text1"/>
        </w:rPr>
        <w:fldChar w:fldCharType="begin"/>
      </w:r>
      <w:r w:rsidR="002D69FC" w:rsidRPr="002D69FC">
        <w:rPr>
          <w:rFonts w:eastAsiaTheme="minorEastAsia"/>
          <w:color w:val="000000" w:themeColor="text1"/>
        </w:rPr>
        <w:instrText xml:space="preserve"> ADDIN ZOTERO_ITEM CSL_CITATION {"citationID":"ein8s62R","properties":{"formattedCitation":"(Diaconescu et al., 2019; Gromann et al., 2013)","plainCitation":"(Diaconescu et al., 2019; Gromann et al., 2013)","noteIndex":0},"citationItems":[{"id":14603,"uris":["http://zotero.org/users/5126227/items/N894HAYA"],"uri":["http://zotero.org/users/5126227/items/N894HAYA"],"itemData":{"id":14603,"type":"article-journal","abstract":"Identifying robust markers for predicting the onset of psychosis has been a key challenge for early detection research. Persecutory delusions are core symptoms of psychosis, and social cognition is particularly impaired in first-episode psychosis patients and individuals at risk for developing psychosis. Here, we propose new avenues for translation provided by hierarchical Bayesian models of behaviour and neuroimaging data applied in the context of social learning to target persecutory delusions. As it comprises a mechanistic model embedded in neurophysiology, the findings of this approach may shed light onto inference and neurobiological causes of transition to psychosis.","container-title":"Molecular Psychiatry","DOI":"10.1038/s41380-019-0427-z","ISSN":"1476-5578","issue":"9","journalAbbreviation":"Mol Psychiatry","language":"en","page":"1258-1267","source":"www.nature.com","title":"Models of persecutory delusions: a mechanistic insight into the early stages of psychosis","title-short":"Models of persecutory delusions","volume":"24","author":[{"family":"Diaconescu","given":"Andreea Oliviana"},{"family":"Hauke","given":"Daniel Jonas"},{"family":"Borgwardt","given":"Stefan"}],"issued":{"date-parts":[["2019",9]]}}},{"id":3229,"uris":["http://zotero.org/users/5126227/items/HBM28ZGZ"],"uri":["http://zotero.org/users/5126227/items/HBM28ZGZ"],"itemData":{"id":3229,"type":"article-journal","abstract":"Abstract.  Psychosis is characterized by an elementary lack of trust in others. Trust is an inherently rewarding aspect of successful social interactions and ca","container-title":"Brain","DOI":"10.1093/brain/awt076","ISSN":"0006-8950","issue":"6","journalAbbreviation":"Brain","language":"en","page":"1968-1975","source":"academic.oup.com","title":"Trust versus paranoia: abnormal response to social reward in psychotic illness","title-short":"Trust versus paranoia","volume":"136","author":[{"family":"Gromann","given":"Paula M."},{"family":"Heslenfeld","given":"Dirk J."},{"family":"Fett","given":"Anne-Kathrin"},{"family":"Joyce","given":"Dan W."},{"family":"Shergill","given":"Sukhi S."},{"family":"Krabbendam","given":"Lydia"}],"issued":{"date-parts":[["2013",6,1]]}}}],"schema":"https://github.com/citation-style-language/schema/raw/master/csl-citation.json"} </w:instrText>
      </w:r>
      <w:r w:rsidR="002D69FC" w:rsidRPr="002D69FC">
        <w:rPr>
          <w:rFonts w:eastAsiaTheme="minorEastAsia"/>
          <w:color w:val="000000" w:themeColor="text1"/>
        </w:rPr>
        <w:fldChar w:fldCharType="separate"/>
      </w:r>
      <w:r w:rsidR="002D69FC" w:rsidRPr="002D69FC">
        <w:rPr>
          <w:rFonts w:eastAsiaTheme="minorEastAsia"/>
          <w:noProof/>
          <w:color w:val="000000" w:themeColor="text1"/>
        </w:rPr>
        <w:t>(Diaconescu et al., 2019; Gromann et al., 2013)</w:t>
      </w:r>
      <w:r w:rsidR="002D69FC" w:rsidRPr="002D69FC">
        <w:rPr>
          <w:rFonts w:eastAsiaTheme="minorEastAsia"/>
          <w:color w:val="000000" w:themeColor="text1"/>
        </w:rPr>
        <w:fldChar w:fldCharType="end"/>
      </w:r>
      <w:r w:rsidR="004A6620" w:rsidRPr="002D69FC">
        <w:rPr>
          <w:rFonts w:eastAsiaTheme="minorEastAsia"/>
          <w:color w:val="000000" w:themeColor="text1"/>
        </w:rPr>
        <w:t xml:space="preserve">). However, a key distinction rarely tackled by these studies is </w:t>
      </w:r>
      <w:r w:rsidR="00EC1749" w:rsidRPr="002D69FC">
        <w:rPr>
          <w:rFonts w:eastAsiaTheme="minorEastAsia"/>
          <w:color w:val="000000" w:themeColor="text1"/>
        </w:rPr>
        <w:t xml:space="preserve">between </w:t>
      </w:r>
      <w:r w:rsidR="004A6620" w:rsidRPr="002D69FC">
        <w:rPr>
          <w:rFonts w:eastAsiaTheme="minorEastAsia"/>
          <w:color w:val="000000" w:themeColor="text1"/>
        </w:rPr>
        <w:t xml:space="preserve">the reward associated with a </w:t>
      </w:r>
      <w:r w:rsidRPr="002D69FC">
        <w:rPr>
          <w:rFonts w:eastAsiaTheme="minorEastAsia"/>
          <w:color w:val="000000" w:themeColor="text1"/>
        </w:rPr>
        <w:t xml:space="preserve">partner’s </w:t>
      </w:r>
      <w:r w:rsidR="004A6620" w:rsidRPr="002D69FC">
        <w:rPr>
          <w:rFonts w:eastAsiaTheme="minorEastAsia"/>
          <w:color w:val="000000" w:themeColor="text1"/>
        </w:rPr>
        <w:t xml:space="preserve">response, compared to </w:t>
      </w:r>
      <w:r w:rsidRPr="002D69FC">
        <w:rPr>
          <w:rFonts w:eastAsiaTheme="minorEastAsia"/>
          <w:color w:val="000000" w:themeColor="text1"/>
        </w:rPr>
        <w:t>intrinsic reward value associated with one’s own</w:t>
      </w:r>
      <w:r w:rsidR="00EC1749" w:rsidRPr="002D69FC">
        <w:rPr>
          <w:rFonts w:eastAsiaTheme="minorEastAsia"/>
          <w:color w:val="000000" w:themeColor="text1"/>
        </w:rPr>
        <w:t xml:space="preserve"> </w:t>
      </w:r>
      <w:r w:rsidR="004A6620" w:rsidRPr="002D69FC">
        <w:rPr>
          <w:rFonts w:eastAsiaTheme="minorEastAsia"/>
          <w:color w:val="000000" w:themeColor="text1"/>
        </w:rPr>
        <w:t>decisions</w:t>
      </w:r>
      <w:r w:rsidR="002D69FC" w:rsidRPr="002D69FC">
        <w:rPr>
          <w:rFonts w:eastAsiaTheme="minorEastAsia"/>
          <w:color w:val="000000" w:themeColor="text1"/>
        </w:rPr>
        <w:t xml:space="preserve"> </w:t>
      </w:r>
      <w:r w:rsidR="002D69FC" w:rsidRPr="002D69FC">
        <w:rPr>
          <w:rFonts w:eastAsiaTheme="minorEastAsia"/>
          <w:color w:val="000000" w:themeColor="text1"/>
        </w:rPr>
        <w:fldChar w:fldCharType="begin"/>
      </w:r>
      <w:r w:rsidR="002D69FC" w:rsidRPr="002D69FC">
        <w:rPr>
          <w:rFonts w:eastAsiaTheme="minorEastAsia"/>
          <w:color w:val="000000" w:themeColor="text1"/>
        </w:rPr>
        <w:instrText xml:space="preserve"> ADDIN ZOTERO_ITEM CSL_CITATION {"citationID":"dffXCZkA","properties":{"formattedCitation":"(Harbaugh et al., 2007; Moll et al., 2006)","plainCitation":"(Harbaugh et al., 2007; Moll et al., 2006)","noteIndex":0},"citationItems":[{"id":13553,"uris":["http://zotero.org/users/5126227/items/Z4G2S85W"],"uri":["http://zotero.org/users/5126227/items/Z4G2S85W"],"itemData":{"id":13553,"type":"article-journal","container-title":"Science","DOI":"10.1126/science.1140738","ISSN":"0036-8075, 1095-9203","issue":"5831","journalAbbreviation":"Science","language":"en","page":"1622-1625","source":"DOI.org (Crossref)","title":"Neural Responses to Taxation and Voluntary Giving Reveal Motives for Charitable Donations","volume":"316","author":[{"family":"Harbaugh","given":"W. T."},{"family":"Mayr","given":"U."},{"family":"Burghart","given":"D. R."}],"issued":{"date-parts":[["2007",6,15]]}}},{"id":15883,"uris":["http://zotero.org/users/5126227/items/85L5KQMW"],"uri":["http://zotero.org/users/5126227/items/85L5KQMW"],"itemData":{"id":15883,"type":"article-journal","abstract":"Humans often sacrifice material benefits to endorse or to oppose societal causes based on moral beliefs. Charitable donation behavior, which has been the target of recent experimental economics studies, is an outstanding contemporary manifestation of this ability. Yet the neural bases of this unique aspect of human altruism, which extends beyond interpersonal interactions, remain obscure. In this article, we use functional magnetic resonance imaging while participants anonymously donated to or opposed real charitable organizations related to major societal causes. We show that the mesolimbic reward system is engaged by donations in the same way as when monetary rewards are obtained. Furthermore, medial orbitofrontal–subgenual and lateral orbitofrontal areas, which also play key roles in more primitive mechanisms of social attachment and aversion, specifically mediate decisions to donate or to oppose societal causes. Remarkably, more anterior sectors of the prefrontal cortex are distinctively recruited when altruistic choices prevail over selfish material interests.","container-title":"Proceedings of the National Academy of Sciences","DOI":"10.1073/pnas.0604475103","ISSN":"0027-8424, 1091-6490","issue":"42","journalAbbreviation":"PNAS","language":"en","note":"publisher: National Academy of Sciences\nsection: Biological Sciences\nPMID: 17030808","page":"15623-15628","source":"www.pnas.org","title":"Human fronto–mesolimbic networks guide decisions about charitable donation","volume":"103","author":[{"family":"Moll","given":"Jorge"},{"family":"Krueger","given":"Frank"},{"family":"Zahn","given":"Roland"},{"family":"Pardini","given":"Matteo"},{"family":"Oliveira-Souza","given":"Ricardo","dropping-particle":"de"},{"family":"Grafman","given":"Jordan"}],"issued":{"date-parts":[["2006",10,17]]}}}],"schema":"https://github.com/citation-style-language/schema/raw/master/csl-citation.json"} </w:instrText>
      </w:r>
      <w:r w:rsidR="002D69FC" w:rsidRPr="002D69FC">
        <w:rPr>
          <w:rFonts w:eastAsiaTheme="minorEastAsia"/>
          <w:color w:val="000000" w:themeColor="text1"/>
        </w:rPr>
        <w:fldChar w:fldCharType="separate"/>
      </w:r>
      <w:r w:rsidR="002D69FC" w:rsidRPr="002D69FC">
        <w:rPr>
          <w:rFonts w:eastAsiaTheme="minorEastAsia"/>
          <w:noProof/>
          <w:color w:val="000000" w:themeColor="text1"/>
        </w:rPr>
        <w:t>(Harbaugh et al., 2007; Moll et al., 2006)</w:t>
      </w:r>
      <w:r w:rsidR="002D69FC" w:rsidRPr="002D69FC">
        <w:rPr>
          <w:rFonts w:eastAsiaTheme="minorEastAsia"/>
          <w:color w:val="000000" w:themeColor="text1"/>
        </w:rPr>
        <w:fldChar w:fldCharType="end"/>
      </w:r>
      <w:r w:rsidR="004A6620" w:rsidRPr="002D69FC">
        <w:rPr>
          <w:rFonts w:eastAsiaTheme="minorEastAsia"/>
          <w:color w:val="000000" w:themeColor="text1"/>
        </w:rPr>
        <w:t>. These</w:t>
      </w:r>
      <w:r w:rsidRPr="002D69FC">
        <w:rPr>
          <w:rFonts w:eastAsiaTheme="minorEastAsia"/>
          <w:color w:val="000000" w:themeColor="text1"/>
        </w:rPr>
        <w:t xml:space="preserve"> reward processes need not be related to how the partner is expected to behave nor how rewarding experiencing cooperation from a partner might be. These two sources of variation are not mutually exclusive, although the latter remains relatively understudied</w:t>
      </w:r>
      <w:r w:rsidR="00E60FE0" w:rsidRPr="002D69FC">
        <w:rPr>
          <w:rFonts w:eastAsiaTheme="minorEastAsia"/>
          <w:color w:val="000000" w:themeColor="text1"/>
        </w:rPr>
        <w:t xml:space="preserve"> in paranoia</w:t>
      </w:r>
      <w:r w:rsidRPr="002D69FC">
        <w:rPr>
          <w:rFonts w:eastAsiaTheme="minorEastAsia"/>
          <w:color w:val="000000" w:themeColor="text1"/>
        </w:rPr>
        <w:t xml:space="preserve">. </w:t>
      </w:r>
    </w:p>
    <w:p w14:paraId="7A1CC404" w14:textId="77777777" w:rsidR="00F75A5B" w:rsidRDefault="00F75A5B" w:rsidP="00164E47">
      <w:pPr>
        <w:autoSpaceDE w:val="0"/>
        <w:autoSpaceDN w:val="0"/>
        <w:adjustRightInd w:val="0"/>
        <w:spacing w:line="360" w:lineRule="auto"/>
        <w:jc w:val="both"/>
        <w:rPr>
          <w:rFonts w:eastAsiaTheme="minorEastAsia"/>
          <w:color w:val="FF0000"/>
        </w:rPr>
      </w:pPr>
    </w:p>
    <w:p w14:paraId="15DB3E87" w14:textId="5E34FA44" w:rsidR="00A55945" w:rsidRPr="002D69FC" w:rsidRDefault="00F75A5B" w:rsidP="00164E47">
      <w:pPr>
        <w:autoSpaceDE w:val="0"/>
        <w:autoSpaceDN w:val="0"/>
        <w:adjustRightInd w:val="0"/>
        <w:spacing w:line="360" w:lineRule="auto"/>
        <w:jc w:val="both"/>
        <w:rPr>
          <w:color w:val="000000" w:themeColor="text1"/>
        </w:rPr>
      </w:pPr>
      <w:r w:rsidRPr="002D69FC">
        <w:rPr>
          <w:rFonts w:eastAsiaTheme="minorEastAsia"/>
          <w:color w:val="000000" w:themeColor="text1"/>
        </w:rPr>
        <w:t xml:space="preserve">We previously showed that paranoia involves an increased attribution of harmful intent to others and an increased tendency to punish ‘selfish’ partners </w:t>
      </w:r>
      <w:r w:rsidRPr="002D69FC">
        <w:rPr>
          <w:rFonts w:eastAsiaTheme="minorEastAsia"/>
          <w:color w:val="000000" w:themeColor="text1"/>
        </w:rPr>
        <w:fldChar w:fldCharType="begin"/>
      </w:r>
      <w:r w:rsidRPr="002D69FC">
        <w:rPr>
          <w:rFonts w:eastAsiaTheme="minorEastAsia"/>
          <w:color w:val="000000" w:themeColor="text1"/>
        </w:rPr>
        <w:instrText xml:space="preserve"> ADDIN ZOTERO_ITEM CSL_CITATION {"citationID":"sefKiX3P","properties":{"formattedCitation":"(Raihani and Bell, 2017a)","plainCitation":"(Raihani and Bell, 2017a)","noteIndex":0},"citationItems":[{"id":"iyQYOOSa/giIG7oVm","uris":["http://zotero.org/users/5126227/items/HHYJ6GU5"],"uri":["http://zotero.org/users/5126227/items/HHYJ6GU5"],"itemData":{"id":3447,"type":"article-journal","title":"Conflict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J"},{"family":"Bell","given":"V"}],"issued":{"date-parts":[["2017",10]]}}}],"schema":"https://github.com/citation-style-language/schema/raw/master/csl-citation.json"} </w:instrText>
      </w:r>
      <w:r w:rsidRPr="002D69FC">
        <w:rPr>
          <w:rFonts w:eastAsiaTheme="minorEastAsia"/>
          <w:color w:val="000000" w:themeColor="text1"/>
        </w:rPr>
        <w:fldChar w:fldCharType="separate"/>
      </w:r>
      <w:r w:rsidRPr="002D69FC">
        <w:rPr>
          <w:rFonts w:eastAsiaTheme="minorEastAsia"/>
          <w:noProof/>
          <w:color w:val="000000" w:themeColor="text1"/>
        </w:rPr>
        <w:t>(Raihani and Bell, 2017a)</w:t>
      </w:r>
      <w:r w:rsidRPr="002D69FC">
        <w:rPr>
          <w:rFonts w:eastAsiaTheme="minorEastAsia"/>
          <w:color w:val="000000" w:themeColor="text1"/>
        </w:rPr>
        <w:fldChar w:fldCharType="end"/>
      </w:r>
      <w:r w:rsidRPr="002D69FC">
        <w:rPr>
          <w:rFonts w:eastAsiaTheme="minorEastAsia"/>
          <w:color w:val="000000" w:themeColor="text1"/>
        </w:rPr>
        <w:t xml:space="preserve">. </w:t>
      </w:r>
      <w:r w:rsidR="004F69FD" w:rsidRPr="002D69FC">
        <w:rPr>
          <w:rFonts w:eastAsiaTheme="minorEastAsia"/>
          <w:color w:val="000000" w:themeColor="text1"/>
        </w:rPr>
        <w:t xml:space="preserve">Punishment decisions are known to </w:t>
      </w:r>
      <w:r w:rsidR="009777B8" w:rsidRPr="002D69FC">
        <w:rPr>
          <w:rFonts w:eastAsiaTheme="minorEastAsia"/>
          <w:color w:val="000000" w:themeColor="text1"/>
        </w:rPr>
        <w:t xml:space="preserve">depend not just on whether harm occurred but on the perception of whether the harm was intended </w:t>
      </w:r>
      <w:r w:rsidR="000670B6" w:rsidRPr="002D69FC">
        <w:rPr>
          <w:rFonts w:eastAsiaTheme="minorEastAsia"/>
          <w:color w:val="000000" w:themeColor="text1"/>
        </w:rPr>
        <w:fldChar w:fldCharType="begin"/>
      </w:r>
      <w:r w:rsidR="004F69FD" w:rsidRPr="002D69FC">
        <w:rPr>
          <w:rFonts w:eastAsiaTheme="minorEastAsia"/>
          <w:color w:val="000000" w:themeColor="text1"/>
        </w:rPr>
        <w:instrText xml:space="preserve"> ADDIN ZOTERO_ITEM CSL_CITATION {"citationID":"YTsnMrvV","properties":{"formattedCitation":"(Cushman et al., 2009; Gerstenberg et al., 2011; Sarin et al., 2017; Schaechtele et al., 2011)","plainCitation":"(Cushman et al., 2009; Gerstenberg et al., 2011; Sarin et al., 2017; Schaechtele et al., 2011)","noteIndex":0},"citationItems":[{"id":"iyQYOOSa/bvHhSbG0","uris":["http://zotero.org/users/5126227/items/QGQZHVM6"],"uri":["http://zotero.org/users/5126227/items/QGQZHVM6"],"itemData":{"id":"MDXeMugM/VhmHU5Sw","type":"article-journal","title":"Accidental Outcomes Guide Punishment in a “Trembling Hand” Game","container-title":"PLoS ONE","page":"e6699","volume":"4","issue":"8","abstract":"How do people respond to others' accidental behaviors? Reward and punishment for an accident might depend on the actor's intentions, or instead on the unintended outcomes she brings about. Yet, existing paradigms in experimental economics do not include the possibility of accidental monetary allocations. We explore the balance of outcomes and intentions in a two-player economic game where monetary allocations are made with a “trembling hand”: that is, intentions and outcomes are sometimes mismatched. Player 1 allocates $10 between herself and Player 2 by rolling one of three dice. One die has a high probability of a selfish outcome, another has a high probability of a fair outcome, and the third has a high probability of a generous outcome. Based on Player 1's choice of die, Player 2 can infer her intentions. However, any of the three die can yield any of the three possible outcomes. Player 2 is given the opportunity to respond to Player 1's allocation by adding to or subtracting from Player 1's payoff. We find that Player 2's responses are influenced substantially by the accidental outcome of Player 1's roll of the die. Comparison to control conditions suggests that in contexts where the allocation is at least partially under the control of Player 1, Player 2 will punish Player 1 accountable for unintentional negative outcomes. In addition, Player 2's responses are influenced by Player 1's intention. However, Player 2 tends to modulate his responses substantially more for selfish intentions than for generous intentions. This novel economic game provides new insight into the psychological mechanisms underlying social preferences for fairness and retribution.","DOI":"10.1371/journal.pone.0006699","language":"English","author":[{"family":"Cushman","given":"Fiery A"},{"family":"Dreber","given":"Anna"},{"family":"Wang","given":"Ying"},{"family":"Costa","given":"Jay"}],"issued":{"date-parts":[["2009",8]]}}},{"id":"iyQYOOSa/D7BSWX4b","uris":["http://zotero.org/users/local/LNWAA8co/items/299VELZC"],"uri":["http://zotero.org/users/local/LNWAA8co/items/299VELZC"],"itemData":{"id":179,"type":"article-journal","title":"The Dice are Cast: The role of intended versus actual contributions in responsibility attribution","page":"1-6","author":[{"family":"Gerstenberg","given":"Tobias"},{"family":"Lagnado","given":"DA"},{"family":"Kareev","given":"Y"}],"issued":{"date-parts":[["2011",6,22]]}}},{"id":"iyQYOOSa/hZ57RAgp","uris":["http://zotero.org/users/local/LNWAA8co/items/JABLQYE2"],"uri":["http://zotero.org/users/local/LNWAA8co/items/JABLQYE2"],"itemData":{"id":650,"type":"article-journal","title":"The Intention-Outcome Asymmetry Effect","container-title":"Experimental Psychology","page":"124-141","volume":"64","issue":"2","DOI":"10.1027/1618-3169/a000359","journalAbbreviation":"Experimental Psychology","author":[{"family":"Sarin","given":"Arunima"},{"family":"Lagnado","given":"David A"},{"family":"Burgess","given":"Paul W"}],"issued":{"date-parts":[["2017",1,1]]}}},{"id":"iyQYOOSa/lbuKyF2r","uris":["http://zotero.org/users/local/LNWAA8co/items/E7BJSL2T"],"uri":["http://zotero.org/users/local/LNWAA8co/items/E7BJSL2T"],"itemData":{"id":3062,"type":"article-journal","title":"Beyond outcomes: the influence of intentions and deception","container-title":"mindmodeling.org","URL":"http://mindmodeling.org/cogsci2011/papers/0415/paper0415.pdf","author":[{"family":"Schaechtele","given":"S"},{"family":"Gerstenberg","given":"Tobias"},{"family":"Lagnado","given":"DA"}],"issued":{"date-parts":[["2011"]]}}}],"schema":"https://github.com/citation-style-language/schema/raw/master/csl-citation.json"} </w:instrText>
      </w:r>
      <w:r w:rsidR="000670B6" w:rsidRPr="002D69FC">
        <w:rPr>
          <w:rFonts w:eastAsiaTheme="minorEastAsia"/>
          <w:color w:val="000000" w:themeColor="text1"/>
        </w:rPr>
        <w:fldChar w:fldCharType="separate"/>
      </w:r>
      <w:r w:rsidR="008C33A0" w:rsidRPr="002D69FC">
        <w:rPr>
          <w:rFonts w:eastAsiaTheme="minorEastAsia"/>
          <w:noProof/>
          <w:color w:val="000000" w:themeColor="text1"/>
        </w:rPr>
        <w:t>(Cushman et al., 2009; Gerstenberg et al., 2011; Sarin et al., 2017; Schaechtele et al., 2011)</w:t>
      </w:r>
      <w:r w:rsidR="000670B6" w:rsidRPr="002D69FC">
        <w:rPr>
          <w:rFonts w:eastAsiaTheme="minorEastAsia"/>
          <w:color w:val="000000" w:themeColor="text1"/>
        </w:rPr>
        <w:fldChar w:fldCharType="end"/>
      </w:r>
      <w:r w:rsidR="000670B6" w:rsidRPr="002D69FC">
        <w:rPr>
          <w:rFonts w:eastAsiaTheme="minorEastAsia"/>
          <w:color w:val="000000" w:themeColor="text1"/>
        </w:rPr>
        <w:t xml:space="preserve">. </w:t>
      </w:r>
      <w:r w:rsidR="008C33A0" w:rsidRPr="002D69FC">
        <w:rPr>
          <w:rFonts w:eastAsiaTheme="minorEastAsia"/>
          <w:color w:val="000000" w:themeColor="text1"/>
        </w:rPr>
        <w:t>I</w:t>
      </w:r>
      <w:r w:rsidR="00F1726A" w:rsidRPr="002D69FC">
        <w:rPr>
          <w:rFonts w:eastAsiaTheme="minorEastAsia"/>
          <w:color w:val="000000" w:themeColor="text1"/>
        </w:rPr>
        <w:t>n this previous work, i</w:t>
      </w:r>
      <w:r w:rsidR="00A20F92" w:rsidRPr="002D69FC">
        <w:rPr>
          <w:rFonts w:eastAsiaTheme="minorEastAsia"/>
          <w:color w:val="000000" w:themeColor="text1"/>
        </w:rPr>
        <w:t xml:space="preserve">ncreased punitive tendency in paranoia </w:t>
      </w:r>
      <w:r w:rsidR="008C33A0" w:rsidRPr="002D69FC">
        <w:rPr>
          <w:rFonts w:eastAsiaTheme="minorEastAsia"/>
          <w:color w:val="000000" w:themeColor="text1"/>
        </w:rPr>
        <w:t xml:space="preserve">was </w:t>
      </w:r>
      <w:r w:rsidR="00A20F92" w:rsidRPr="002D69FC">
        <w:rPr>
          <w:rFonts w:eastAsiaTheme="minorEastAsia"/>
          <w:color w:val="000000" w:themeColor="text1"/>
        </w:rPr>
        <w:t xml:space="preserve">partly </w:t>
      </w:r>
      <w:r w:rsidR="008C33A0" w:rsidRPr="002D69FC">
        <w:rPr>
          <w:rFonts w:eastAsiaTheme="minorEastAsia"/>
          <w:color w:val="000000" w:themeColor="text1"/>
        </w:rPr>
        <w:t xml:space="preserve">(but not fully) </w:t>
      </w:r>
      <w:r w:rsidR="00A20F92" w:rsidRPr="002D69FC">
        <w:rPr>
          <w:rFonts w:eastAsiaTheme="minorEastAsia"/>
          <w:color w:val="000000" w:themeColor="text1"/>
        </w:rPr>
        <w:t xml:space="preserve">mediated by the tendency to attribute harmful intent to others. </w:t>
      </w:r>
      <w:r w:rsidR="00F1726A" w:rsidRPr="002D69FC">
        <w:rPr>
          <w:rFonts w:eastAsiaTheme="minorEastAsia"/>
          <w:color w:val="000000" w:themeColor="text1"/>
        </w:rPr>
        <w:t>In the same study, more paranoid thinking</w:t>
      </w:r>
      <w:r w:rsidR="001567A3" w:rsidRPr="002D69FC">
        <w:rPr>
          <w:rFonts w:eastAsiaTheme="minorEastAsia"/>
          <w:color w:val="000000" w:themeColor="text1"/>
        </w:rPr>
        <w:t xml:space="preserve"> was </w:t>
      </w:r>
      <w:r w:rsidR="008C33A0" w:rsidRPr="002D69FC">
        <w:rPr>
          <w:rFonts w:eastAsiaTheme="minorEastAsia"/>
          <w:color w:val="000000" w:themeColor="text1"/>
        </w:rPr>
        <w:t xml:space="preserve">also </w:t>
      </w:r>
      <w:r w:rsidR="001567A3" w:rsidRPr="002D69FC">
        <w:rPr>
          <w:rFonts w:eastAsiaTheme="minorEastAsia"/>
          <w:color w:val="000000" w:themeColor="text1"/>
        </w:rPr>
        <w:t>associated with</w:t>
      </w:r>
      <w:r w:rsidR="008C33A0" w:rsidRPr="002D69FC">
        <w:rPr>
          <w:rFonts w:eastAsiaTheme="minorEastAsia"/>
          <w:color w:val="000000" w:themeColor="text1"/>
        </w:rPr>
        <w:t xml:space="preserve"> reduced prosocial tendency: more paranoid participants sent less</w:t>
      </w:r>
      <w:r w:rsidR="001567A3" w:rsidRPr="002D69FC">
        <w:rPr>
          <w:rFonts w:eastAsiaTheme="minorEastAsia"/>
          <w:color w:val="000000" w:themeColor="text1"/>
        </w:rPr>
        <w:t xml:space="preserve"> money to the partner when acting in the role of the dictator</w:t>
      </w:r>
      <w:r w:rsidR="008C33A0" w:rsidRPr="002D69FC">
        <w:rPr>
          <w:rFonts w:eastAsiaTheme="minorEastAsia"/>
          <w:color w:val="000000" w:themeColor="text1"/>
        </w:rPr>
        <w:t xml:space="preserve">. </w:t>
      </w:r>
      <w:r w:rsidR="00F1726A" w:rsidRPr="002D69FC">
        <w:rPr>
          <w:rFonts w:eastAsiaTheme="minorEastAsia"/>
          <w:color w:val="000000" w:themeColor="text1"/>
        </w:rPr>
        <w:t>Together, t</w:t>
      </w:r>
      <w:r w:rsidR="00110C27" w:rsidRPr="002D69FC">
        <w:rPr>
          <w:rFonts w:eastAsiaTheme="minorEastAsia"/>
          <w:color w:val="000000" w:themeColor="text1"/>
        </w:rPr>
        <w:t xml:space="preserve">hese findings suggest that </w:t>
      </w:r>
      <w:r w:rsidR="00360B2D" w:rsidRPr="002D69FC">
        <w:rPr>
          <w:rFonts w:eastAsiaTheme="minorEastAsia"/>
          <w:color w:val="000000" w:themeColor="text1"/>
        </w:rPr>
        <w:t xml:space="preserve">punitive </w:t>
      </w:r>
      <w:r w:rsidRPr="002D69FC">
        <w:rPr>
          <w:rFonts w:eastAsiaTheme="minorEastAsia"/>
          <w:color w:val="000000" w:themeColor="text1"/>
        </w:rPr>
        <w:t>decisions</w:t>
      </w:r>
      <w:r w:rsidR="00360B2D" w:rsidRPr="002D69FC">
        <w:rPr>
          <w:rFonts w:eastAsiaTheme="minorEastAsia"/>
          <w:color w:val="000000" w:themeColor="text1"/>
        </w:rPr>
        <w:t xml:space="preserve"> in </w:t>
      </w:r>
      <w:r w:rsidR="00110C27" w:rsidRPr="002D69FC">
        <w:rPr>
          <w:rFonts w:eastAsiaTheme="minorEastAsia"/>
          <w:color w:val="000000" w:themeColor="text1"/>
        </w:rPr>
        <w:t xml:space="preserve">paranoia might be associated with variation in subjective reward value associated with positive and negative social </w:t>
      </w:r>
      <w:r w:rsidRPr="002D69FC">
        <w:rPr>
          <w:rFonts w:eastAsiaTheme="minorEastAsia"/>
          <w:color w:val="000000" w:themeColor="text1"/>
        </w:rPr>
        <w:t>decision-making</w:t>
      </w:r>
      <w:r w:rsidR="00110C27" w:rsidRPr="002D69FC">
        <w:rPr>
          <w:rFonts w:eastAsiaTheme="minorEastAsia"/>
          <w:color w:val="000000" w:themeColor="text1"/>
        </w:rPr>
        <w:t xml:space="preserve"> </w:t>
      </w:r>
      <w:r w:rsidR="00360B2D" w:rsidRPr="002D69FC">
        <w:rPr>
          <w:rFonts w:eastAsiaTheme="minorEastAsia"/>
          <w:color w:val="000000" w:themeColor="text1"/>
        </w:rPr>
        <w:t xml:space="preserve">rather than simply an exaggerated perception threat from others – </w:t>
      </w:r>
      <w:r w:rsidR="00110C27" w:rsidRPr="002D69FC">
        <w:rPr>
          <w:rFonts w:eastAsiaTheme="minorEastAsia"/>
          <w:color w:val="000000" w:themeColor="text1"/>
        </w:rPr>
        <w:t>a hypothesis we test here. W</w:t>
      </w:r>
      <w:r w:rsidR="002E24FE" w:rsidRPr="002D69FC">
        <w:rPr>
          <w:rFonts w:eastAsiaTheme="minorEastAsia"/>
          <w:color w:val="000000" w:themeColor="text1"/>
        </w:rPr>
        <w:t xml:space="preserve">e asked </w:t>
      </w:r>
      <w:r w:rsidR="00691EB6" w:rsidRPr="002D69FC">
        <w:rPr>
          <w:rFonts w:eastAsiaTheme="minorEastAsia"/>
          <w:color w:val="000000" w:themeColor="text1"/>
        </w:rPr>
        <w:t xml:space="preserve">whether </w:t>
      </w:r>
      <w:r w:rsidR="00A62A32" w:rsidRPr="002D69FC">
        <w:rPr>
          <w:rFonts w:eastAsiaTheme="minorEastAsia"/>
          <w:color w:val="000000" w:themeColor="text1"/>
        </w:rPr>
        <w:t>paranoia</w:t>
      </w:r>
      <w:r w:rsidR="00682060" w:rsidRPr="002D69FC">
        <w:rPr>
          <w:rFonts w:eastAsiaTheme="minorEastAsia"/>
          <w:color w:val="000000" w:themeColor="text1"/>
        </w:rPr>
        <w:t xml:space="preserve"> </w:t>
      </w:r>
      <w:r w:rsidR="00451FC1" w:rsidRPr="002D69FC">
        <w:rPr>
          <w:rFonts w:eastAsiaTheme="minorEastAsia"/>
          <w:color w:val="000000" w:themeColor="text1"/>
        </w:rPr>
        <w:t>was</w:t>
      </w:r>
      <w:r w:rsidR="00682060" w:rsidRPr="002D69FC">
        <w:rPr>
          <w:rFonts w:eastAsiaTheme="minorEastAsia"/>
          <w:color w:val="000000" w:themeColor="text1"/>
        </w:rPr>
        <w:t xml:space="preserve"> associated with variation the self-reported tendency to find different kinds of social interaction more or less enjoyable.</w:t>
      </w:r>
      <w:r w:rsidR="00A55945" w:rsidRPr="002D69FC">
        <w:rPr>
          <w:rFonts w:eastAsiaTheme="minorEastAsia"/>
          <w:color w:val="000000" w:themeColor="text1"/>
        </w:rPr>
        <w:t xml:space="preserve"> </w:t>
      </w:r>
      <w:r w:rsidR="008C33A0" w:rsidRPr="002D69FC">
        <w:rPr>
          <w:rFonts w:eastAsiaTheme="minorEastAsia"/>
          <w:color w:val="000000" w:themeColor="text1"/>
        </w:rPr>
        <w:t>We then</w:t>
      </w:r>
      <w:r w:rsidR="002E24FE" w:rsidRPr="002D69FC">
        <w:rPr>
          <w:rFonts w:eastAsiaTheme="minorEastAsia"/>
          <w:color w:val="000000" w:themeColor="text1"/>
        </w:rPr>
        <w:t xml:space="preserve"> asked to </w:t>
      </w:r>
      <w:r w:rsidR="00A55945" w:rsidRPr="002D69FC">
        <w:rPr>
          <w:rFonts w:eastAsiaTheme="minorEastAsia"/>
          <w:color w:val="000000" w:themeColor="text1"/>
        </w:rPr>
        <w:t xml:space="preserve">what extent paranoia, harmful intent attribution and social reward value </w:t>
      </w:r>
      <w:r w:rsidR="003647F5" w:rsidRPr="002D69FC">
        <w:rPr>
          <w:rFonts w:eastAsiaTheme="minorEastAsia"/>
          <w:color w:val="000000" w:themeColor="text1"/>
        </w:rPr>
        <w:t xml:space="preserve">are </w:t>
      </w:r>
      <w:r w:rsidR="00F1726A" w:rsidRPr="002D69FC">
        <w:rPr>
          <w:rFonts w:eastAsiaTheme="minorEastAsia"/>
          <w:color w:val="000000" w:themeColor="text1"/>
        </w:rPr>
        <w:t xml:space="preserve">associated with </w:t>
      </w:r>
      <w:r w:rsidR="00A55945" w:rsidRPr="002D69FC">
        <w:rPr>
          <w:rFonts w:eastAsiaTheme="minorEastAsia"/>
          <w:color w:val="000000" w:themeColor="text1"/>
        </w:rPr>
        <w:t>punishment and generosity (respectively) in an experimental Dictator Game.</w:t>
      </w:r>
      <w:r w:rsidR="00A62A32" w:rsidRPr="002D69FC">
        <w:rPr>
          <w:rFonts w:eastAsiaTheme="minorEastAsia"/>
          <w:color w:val="000000" w:themeColor="text1"/>
        </w:rPr>
        <w:t xml:space="preserve"> </w:t>
      </w:r>
    </w:p>
    <w:p w14:paraId="00A66A91" w14:textId="77777777" w:rsidR="005B3206" w:rsidRDefault="005B3206" w:rsidP="00164E47">
      <w:pPr>
        <w:spacing w:line="360" w:lineRule="auto"/>
        <w:jc w:val="both"/>
        <w:rPr>
          <w:b/>
        </w:rPr>
      </w:pPr>
      <w:r>
        <w:rPr>
          <w:b/>
        </w:rPr>
        <w:br/>
      </w:r>
    </w:p>
    <w:p w14:paraId="09270A96" w14:textId="77777777" w:rsidR="005B3206" w:rsidRDefault="005B3206">
      <w:pPr>
        <w:rPr>
          <w:b/>
        </w:rPr>
      </w:pPr>
      <w:r>
        <w:rPr>
          <w:b/>
        </w:rPr>
        <w:br w:type="page"/>
      </w:r>
    </w:p>
    <w:p w14:paraId="4E141B68" w14:textId="35621D08" w:rsidR="002E4D3C" w:rsidRPr="00AF4B3E" w:rsidRDefault="008B1AF2" w:rsidP="00164E47">
      <w:pPr>
        <w:spacing w:line="360" w:lineRule="auto"/>
        <w:jc w:val="both"/>
        <w:rPr>
          <w:b/>
        </w:rPr>
      </w:pPr>
      <w:r>
        <w:rPr>
          <w:b/>
        </w:rPr>
        <w:lastRenderedPageBreak/>
        <w:t xml:space="preserve">2. </w:t>
      </w:r>
      <w:r w:rsidR="00706F59" w:rsidRPr="00AF4B3E">
        <w:rPr>
          <w:b/>
        </w:rPr>
        <w:t>Methods</w:t>
      </w:r>
    </w:p>
    <w:p w14:paraId="532716A3" w14:textId="7EF16ACC" w:rsidR="008D594F" w:rsidRPr="008B1AF2" w:rsidRDefault="008B1AF2" w:rsidP="00B00CC2">
      <w:pPr>
        <w:spacing w:line="360" w:lineRule="auto"/>
        <w:jc w:val="both"/>
      </w:pPr>
      <w:r>
        <w:t xml:space="preserve">2.1 </w:t>
      </w:r>
      <w:r w:rsidR="00B00CC2">
        <w:t>Participants</w:t>
      </w:r>
    </w:p>
    <w:p w14:paraId="786BC2C4" w14:textId="108E8313" w:rsidR="00706F59" w:rsidRDefault="00706F59" w:rsidP="00164E47">
      <w:pPr>
        <w:spacing w:line="360" w:lineRule="auto"/>
        <w:jc w:val="both"/>
      </w:pPr>
      <w:r>
        <w:t xml:space="preserve">Data for this study were collected in </w:t>
      </w:r>
      <w:r w:rsidR="00EA1F7C">
        <w:t xml:space="preserve">April and </w:t>
      </w:r>
      <w:r>
        <w:t xml:space="preserve">May 2018. This project was approved by the UCL Research Ethics Council (project 3720/001).  </w:t>
      </w:r>
      <w:r w:rsidR="00A67580">
        <w:t xml:space="preserve">We recruited 2004 US-based participants (1112 females, 892 males) using the online platform, Amazon Mechanical Turk (hereafter, </w:t>
      </w:r>
      <w:proofErr w:type="spellStart"/>
      <w:r w:rsidR="00A67580">
        <w:t>MTurk</w:t>
      </w:r>
      <w:proofErr w:type="spellEnd"/>
      <w:r w:rsidR="00A67580">
        <w:t xml:space="preserve">). The mean age of participants was 35.8 ± 0.3 (range: 18-82). </w:t>
      </w:r>
      <w:r w:rsidR="00A06DEE">
        <w:t xml:space="preserve">All analyses in this study are pre-registered, unless reported otherwise. </w:t>
      </w:r>
      <w:r w:rsidR="00A04A2E">
        <w:t>All predictions for this study</w:t>
      </w:r>
      <w:r w:rsidR="00A06DEE">
        <w:t>,</w:t>
      </w:r>
      <w:r w:rsidR="00A04A2E">
        <w:t xml:space="preserve"> as well as</w:t>
      </w:r>
      <w:r w:rsidR="00A06DEE">
        <w:t xml:space="preserve"> data and code to reproduce analyses</w:t>
      </w:r>
      <w:r w:rsidR="00A04A2E">
        <w:t>,</w:t>
      </w:r>
      <w:r w:rsidR="00A06DEE">
        <w:t xml:space="preserve"> are available online at </w:t>
      </w:r>
      <w:r w:rsidR="001B780B" w:rsidRPr="001B780B">
        <w:t>https://osf.io/6kv3d/</w:t>
      </w:r>
      <w:r w:rsidR="001B780B">
        <w:t>.</w:t>
      </w:r>
    </w:p>
    <w:p w14:paraId="591BD176" w14:textId="6994E148" w:rsidR="00A67580" w:rsidRDefault="00A67580" w:rsidP="00164E47">
      <w:pPr>
        <w:spacing w:line="360" w:lineRule="auto"/>
        <w:jc w:val="both"/>
      </w:pPr>
    </w:p>
    <w:p w14:paraId="0F936665" w14:textId="7D9385F2" w:rsidR="00B00CC2" w:rsidRDefault="00B00CC2" w:rsidP="00164E47">
      <w:pPr>
        <w:spacing w:line="360" w:lineRule="auto"/>
        <w:jc w:val="both"/>
      </w:pPr>
      <w:r>
        <w:t>2.2 Procedures</w:t>
      </w:r>
    </w:p>
    <w:p w14:paraId="3D1EEE16" w14:textId="3DD96BCC" w:rsidR="008D594F" w:rsidRPr="008B1AF2" w:rsidRDefault="008B1AF2" w:rsidP="00164E47">
      <w:pPr>
        <w:spacing w:line="360" w:lineRule="auto"/>
        <w:jc w:val="both"/>
      </w:pPr>
      <w:r>
        <w:t>2.</w:t>
      </w:r>
      <w:r w:rsidR="00B00CC2">
        <w:t>2.1</w:t>
      </w:r>
      <w:r>
        <w:t xml:space="preserve"> </w:t>
      </w:r>
      <w:r w:rsidR="008D594F" w:rsidRPr="008B1AF2">
        <w:t>Self-reported paranoia</w:t>
      </w:r>
      <w:r w:rsidR="00703021" w:rsidRPr="008B1AF2">
        <w:t xml:space="preserve"> and social reward</w:t>
      </w:r>
    </w:p>
    <w:p w14:paraId="1B3F8A3D" w14:textId="106B0F1F" w:rsidR="009B0159" w:rsidRDefault="00A04A2E" w:rsidP="00164E47">
      <w:pPr>
        <w:spacing w:line="360" w:lineRule="auto"/>
        <w:jc w:val="both"/>
      </w:pPr>
      <w:r w:rsidRPr="005F025D">
        <w:t>W</w:t>
      </w:r>
      <w:r w:rsidR="00A67580" w:rsidRPr="005F025D">
        <w:t>e assessed participants for paranoia, using the Green et al. Paranoid Thought Scales (hereafter GPTS</w:t>
      </w:r>
      <w:r w:rsidR="00771BE9" w:rsidRPr="005F025D">
        <w:t xml:space="preserve">, </w:t>
      </w:r>
      <w:r w:rsidR="00771BE9" w:rsidRPr="005F025D">
        <w:fldChar w:fldCharType="begin"/>
      </w:r>
      <w:r w:rsidR="008C33A0" w:rsidRPr="005F025D">
        <w:instrText xml:space="preserve"> ADDIN ZOTERO_ITEM CSL_CITATION {"citationID":"tSvZurjs","properties":{"formattedCitation":"(Green et al., 2008)","plainCitation":"(Green et al., 2008)","noteIndex":0},"citationItems":[{"id":4541,"uris":["http://zotero.org/users/5126227/items/C3SELVHV"],"uri":["http://zotero.org/users/5126227/items/C3SELVHV"],"itemData":{"id":4541,"type":"article-journal","container-title":"Psychological Medicine","DOI":"10.1017/s0033291707001638","issue":"01","language":"English","title":"Measuring ideas of persecution and social reference: the Green et al. Paranoid Thought Scales (GPTS)","URL":"http://www.journals.cambridge.org/abstract_S0033291707001638","volume":"38","author":[{"family":"Green","given":"C E L"},{"family":"Freeman","given":"Daniel"},{"family":"Kuipers","given":"E"},{"family":"Bebbington","given":"P"},{"family":"Fowler","given":"D"},{"family":"Dunn","given":"G"},{"family":"Garety","given":"P A"}],"issued":{"date-parts":[["2008"]]}}}],"schema":"https://github.com/citation-style-language/schema/raw/master/csl-citation.json"} </w:instrText>
      </w:r>
      <w:r w:rsidR="00771BE9" w:rsidRPr="005F025D">
        <w:fldChar w:fldCharType="separate"/>
      </w:r>
      <w:r w:rsidR="00CC4924" w:rsidRPr="005F025D">
        <w:rPr>
          <w:noProof/>
        </w:rPr>
        <w:t>(Green et al., 2008)</w:t>
      </w:r>
      <w:r w:rsidR="00771BE9" w:rsidRPr="005F025D">
        <w:fldChar w:fldCharType="end"/>
      </w:r>
      <w:r w:rsidR="00A67580" w:rsidRPr="005F025D">
        <w:t>) which is a reliable and valid instrument that captures variation in paranoid thinking across the full spectrum.</w:t>
      </w:r>
      <w:r w:rsidR="00110C27" w:rsidRPr="005F025D">
        <w:t xml:space="preserve"> The scale is described in online supplementary materials.</w:t>
      </w:r>
      <w:r w:rsidR="00110C27">
        <w:t xml:space="preserve"> </w:t>
      </w:r>
      <w:r w:rsidR="00A67580">
        <w:t xml:space="preserve"> </w:t>
      </w:r>
    </w:p>
    <w:p w14:paraId="6FA70EFD" w14:textId="77777777" w:rsidR="00771BE9" w:rsidRDefault="00771BE9" w:rsidP="00164E47">
      <w:pPr>
        <w:spacing w:line="360" w:lineRule="auto"/>
        <w:jc w:val="both"/>
      </w:pPr>
    </w:p>
    <w:p w14:paraId="76F6EF07" w14:textId="2CF75979" w:rsidR="00380F4B" w:rsidRPr="00116322" w:rsidRDefault="009B0159" w:rsidP="00164E47">
      <w:pPr>
        <w:spacing w:line="360" w:lineRule="auto"/>
        <w:jc w:val="both"/>
      </w:pPr>
      <w:r>
        <w:t>Participants then took two subscales of the Social Reward Questionnaire</w:t>
      </w:r>
      <w:r w:rsidR="00D647A1">
        <w:t xml:space="preserve"> (SRQ)</w:t>
      </w:r>
      <w:r>
        <w:t xml:space="preserve">, designed to measure individual differences </w:t>
      </w:r>
      <w:r w:rsidR="00466AD5">
        <w:t xml:space="preserve">in </w:t>
      </w:r>
      <w:r w:rsidR="00E873DB">
        <w:t>the hedonic value of different types of social interactions</w:t>
      </w:r>
      <w:r w:rsidR="00CC4924">
        <w:t xml:space="preserve"> </w:t>
      </w:r>
      <w:r w:rsidR="00CC4924">
        <w:fldChar w:fldCharType="begin"/>
      </w:r>
      <w:r w:rsidR="008C33A0">
        <w:instrText xml:space="preserve"> ADDIN ZOTERO_ITEM CSL_CITATION {"citationID":"WW1e8k7Z","properties":{"formattedCitation":"(Foulkes et al., 2014)","plainCitation":"(Foulkes et al., 2014)","noteIndex":0},"citationItems":[{"id":801,"uris":["http://zotero.org/users/5126227/items/3TZTBMBB"],"uri":["http://zotero.org/users/5126227/items/3TZTBMBB"],"itemData":{"id":801,"type":"article-journal","abstract":"Abstract Human beings seek out social interactions as a source of reward. To date, there have been limited attempts to identify different forms of social reward, and little is known about how the value of social rewards might vary between individuals. This study aimed to address both these issues by developing the Social Reward Questionnaire (SRQ), a measure of individual differences in the value of different social rewards. Exploratory ...","container-title":"Frontiers in Psychology","DOI":"10.3389/fpsyg.2014.00201","page":"289","title":"Social Reward Questionnaire (SRQ): development and validation","volume":"5","author":[{"family":"Foulkes","given":"Lucy"},{"family":"Viding","given":"Essi"},{"family":"McCrory","given":"E"}],"issued":{"date-parts":[["2014"]]}}}],"schema":"https://github.com/citation-style-language/schema/raw/master/csl-citation.json"} </w:instrText>
      </w:r>
      <w:r w:rsidR="00CC4924">
        <w:fldChar w:fldCharType="separate"/>
      </w:r>
      <w:r w:rsidR="001B780B">
        <w:rPr>
          <w:noProof/>
        </w:rPr>
        <w:t>(Foulkes et al., 2014)</w:t>
      </w:r>
      <w:r w:rsidR="00CC4924">
        <w:fldChar w:fldCharType="end"/>
      </w:r>
      <w:r>
        <w:t xml:space="preserve">. </w:t>
      </w:r>
      <w:r w:rsidR="00EA1F7C" w:rsidRPr="0BE2BDA0">
        <w:rPr>
          <w:rFonts w:eastAsiaTheme="minorEastAsia"/>
        </w:rPr>
        <w:t xml:space="preserve">All subscales of the SRQ </w:t>
      </w:r>
      <w:r w:rsidR="00D647A1">
        <w:rPr>
          <w:rFonts w:eastAsiaTheme="minorEastAsia"/>
        </w:rPr>
        <w:t>are</w:t>
      </w:r>
      <w:r w:rsidR="00EA1F7C" w:rsidRPr="0BE2BDA0">
        <w:rPr>
          <w:rFonts w:eastAsiaTheme="minorEastAsia"/>
        </w:rPr>
        <w:t xml:space="preserve"> reliable, valid and internally consistent, </w:t>
      </w:r>
      <w:r w:rsidR="003A49C1">
        <w:rPr>
          <w:rFonts w:eastAsiaTheme="minorEastAsia"/>
        </w:rPr>
        <w:t>and associate with</w:t>
      </w:r>
      <w:r w:rsidR="00EA1F7C" w:rsidRPr="0BE2BDA0">
        <w:rPr>
          <w:rFonts w:eastAsiaTheme="minorEastAsia"/>
        </w:rPr>
        <w:t xml:space="preserve"> related external factors</w:t>
      </w:r>
      <w:r w:rsidR="00CC4924">
        <w:rPr>
          <w:rFonts w:eastAsiaTheme="minorEastAsia"/>
        </w:rPr>
        <w:t xml:space="preserve"> </w:t>
      </w:r>
      <w:r w:rsidR="00CC4924">
        <w:rPr>
          <w:rFonts w:eastAsiaTheme="minorEastAsia"/>
        </w:rPr>
        <w:fldChar w:fldCharType="begin"/>
      </w:r>
      <w:r w:rsidR="008C33A0">
        <w:rPr>
          <w:rFonts w:eastAsiaTheme="minorEastAsia"/>
        </w:rPr>
        <w:instrText xml:space="preserve"> ADDIN ZOTERO_ITEM CSL_CITATION {"citationID":"akmqj2sV","properties":{"formattedCitation":"(Foulkes et al., 2014)","plainCitation":"(Foulkes et al., 2014)","noteIndex":0},"citationItems":[{"id":801,"uris":["http://zotero.org/users/5126227/items/3TZTBMBB"],"uri":["http://zotero.org/users/5126227/items/3TZTBMBB"],"itemData":{"id":801,"type":"article-journal","abstract":"Abstract Human beings seek out social interactions as a source of reward. To date, there have been limited attempts to identify different forms of social reward, and little is known about how the value of social rewards might vary between individuals. This study aimed to address both these issues by developing the Social Reward Questionnaire (SRQ), a measure of individual differences in the value of different social rewards. Exploratory ...","container-title":"Frontiers in Psychology","DOI":"10.3389/fpsyg.2014.00201","page":"289","title":"Social Reward Questionnaire (SRQ): development and validation","volume":"5","author":[{"family":"Foulkes","given":"Lucy"},{"family":"Viding","given":"Essi"},{"family":"McCrory","given":"E"}],"issued":{"date-parts":[["2014"]]}}}],"schema":"https://github.com/citation-style-language/schema/raw/master/csl-citation.json"} </w:instrText>
      </w:r>
      <w:r w:rsidR="00CC4924">
        <w:rPr>
          <w:rFonts w:eastAsiaTheme="minorEastAsia"/>
        </w:rPr>
        <w:fldChar w:fldCharType="separate"/>
      </w:r>
      <w:r w:rsidR="001B780B">
        <w:rPr>
          <w:rFonts w:eastAsiaTheme="minorEastAsia"/>
          <w:noProof/>
        </w:rPr>
        <w:t>(Foulkes et al., 2014)</w:t>
      </w:r>
      <w:r w:rsidR="00CC4924">
        <w:rPr>
          <w:rFonts w:eastAsiaTheme="minorEastAsia"/>
        </w:rPr>
        <w:fldChar w:fldCharType="end"/>
      </w:r>
      <w:r w:rsidR="00EA1F7C" w:rsidRPr="0BE2BDA0">
        <w:rPr>
          <w:rFonts w:eastAsiaTheme="minorEastAsia"/>
        </w:rPr>
        <w:t>.</w:t>
      </w:r>
      <w:r w:rsidR="00EA1F7C">
        <w:rPr>
          <w:rFonts w:eastAsiaTheme="minorEastAsia"/>
        </w:rPr>
        <w:t xml:space="preserve"> </w:t>
      </w:r>
      <w:r>
        <w:t xml:space="preserve">In this study, participants took the ‘Negative Social Potency’ scale and the ‘Prosocial Interactions’ subscales (hereafter NSP and </w:t>
      </w:r>
      <w:r w:rsidR="00703021">
        <w:t>PRO</w:t>
      </w:r>
      <w:r>
        <w:t>, respectively</w:t>
      </w:r>
      <w:r w:rsidR="00466AD5">
        <w:t>, described online)</w:t>
      </w:r>
      <w:r>
        <w:t xml:space="preserve">) which each consisted of five </w:t>
      </w:r>
      <w:r w:rsidR="00703021">
        <w:t xml:space="preserve">items </w:t>
      </w:r>
      <w:r>
        <w:t xml:space="preserve">where participants rate on a Likert </w:t>
      </w:r>
      <w:r w:rsidR="00703021">
        <w:t>s</w:t>
      </w:r>
      <w:r>
        <w:t xml:space="preserve">cale (1-7) the extent to which they agree or disagree with </w:t>
      </w:r>
      <w:r w:rsidR="00703021">
        <w:t>the</w:t>
      </w:r>
      <w:r>
        <w:t xml:space="preserve"> statement. </w:t>
      </w:r>
      <w:r w:rsidR="00466AD5">
        <w:t>H</w:t>
      </w:r>
      <w:r>
        <w:t xml:space="preserve">igher scores indicate stronger </w:t>
      </w:r>
      <w:r w:rsidR="001B64FA">
        <w:t xml:space="preserve">self-reported </w:t>
      </w:r>
      <w:r w:rsidR="00E873DB">
        <w:t>enjoyment of antisocial and prosocial behaviour</w:t>
      </w:r>
      <w:r>
        <w:t xml:space="preserve">, respectively. </w:t>
      </w:r>
      <w:r w:rsidR="00A06DEE">
        <w:t xml:space="preserve">We </w:t>
      </w:r>
      <w:r w:rsidR="003A49C1">
        <w:t>expected</w:t>
      </w:r>
      <w:r w:rsidR="00A06DEE">
        <w:t xml:space="preserve"> that paranoia would </w:t>
      </w:r>
      <w:r w:rsidR="009F67EF">
        <w:t xml:space="preserve">be negatively associated with </w:t>
      </w:r>
      <w:r w:rsidR="00703021">
        <w:t xml:space="preserve">PRO </w:t>
      </w:r>
      <w:r w:rsidR="00A06DEE">
        <w:t>and positively associated with NSP.</w:t>
      </w:r>
      <w:r w:rsidR="00380F4B">
        <w:t xml:space="preserve"> </w:t>
      </w:r>
      <w:r w:rsidR="00116322">
        <w:t xml:space="preserve">All scales showed good internal consistency (Cronbach’s </w:t>
      </w:r>
      <w:r w:rsidR="00116322">
        <w:sym w:font="Symbol" w:char="F061"/>
      </w:r>
      <w:r w:rsidR="00116322">
        <w:t xml:space="preserve">: GPTS </w:t>
      </w:r>
      <w:r w:rsidR="00116322" w:rsidRPr="005F025D">
        <w:t>= 0.97; NSP = 0.92; PRO = 0.93)</w:t>
      </w:r>
      <w:r w:rsidR="00116322">
        <w:t>.</w:t>
      </w:r>
      <w:r w:rsidR="00A04A2E">
        <w:t xml:space="preserve"> Participants were paid $0.70 for this part of the study.</w:t>
      </w:r>
    </w:p>
    <w:p w14:paraId="49DEBD8A" w14:textId="77777777" w:rsidR="008D594F" w:rsidRDefault="008D594F" w:rsidP="00164E47">
      <w:pPr>
        <w:spacing w:line="360" w:lineRule="auto"/>
        <w:jc w:val="both"/>
      </w:pPr>
    </w:p>
    <w:p w14:paraId="5E69E778" w14:textId="010EC073" w:rsidR="008D594F" w:rsidRPr="008B1AF2" w:rsidRDefault="008B1AF2" w:rsidP="00164E47">
      <w:pPr>
        <w:spacing w:line="360" w:lineRule="auto"/>
        <w:jc w:val="both"/>
      </w:pPr>
      <w:r>
        <w:t>2.</w:t>
      </w:r>
      <w:r w:rsidR="00B00CC2">
        <w:t xml:space="preserve">2.2 </w:t>
      </w:r>
      <w:r w:rsidR="008D594F" w:rsidRPr="008B1AF2">
        <w:t xml:space="preserve">The </w:t>
      </w:r>
      <w:r w:rsidR="00703021" w:rsidRPr="008B1AF2">
        <w:t>e</w:t>
      </w:r>
      <w:r w:rsidR="008D594F" w:rsidRPr="008B1AF2">
        <w:t xml:space="preserve">xperimental </w:t>
      </w:r>
      <w:r w:rsidR="00703021" w:rsidRPr="008B1AF2">
        <w:t>t</w:t>
      </w:r>
      <w:r w:rsidR="008D594F" w:rsidRPr="008B1AF2">
        <w:t>ask</w:t>
      </w:r>
    </w:p>
    <w:p w14:paraId="134FBFC6" w14:textId="199BCB3E" w:rsidR="00B96298" w:rsidRDefault="009B0159" w:rsidP="00164E47">
      <w:pPr>
        <w:spacing w:line="360" w:lineRule="auto"/>
        <w:jc w:val="both"/>
      </w:pPr>
      <w:r>
        <w:t xml:space="preserve">After a minimum interval of </w:t>
      </w:r>
      <w:r w:rsidR="008F4336">
        <w:t>seven</w:t>
      </w:r>
      <w:r>
        <w:t xml:space="preserve"> days, participants were recalled</w:t>
      </w:r>
      <w:r w:rsidR="00620642">
        <w:t xml:space="preserve"> and invited to take part in a</w:t>
      </w:r>
      <w:r>
        <w:t xml:space="preserve"> modified Dictator Game</w:t>
      </w:r>
      <w:r w:rsidR="00B96298">
        <w:t xml:space="preserve"> (described below)</w:t>
      </w:r>
      <w:r w:rsidR="008D594F">
        <w:t>.</w:t>
      </w:r>
      <w:r w:rsidR="00B96298">
        <w:t xml:space="preserve"> </w:t>
      </w:r>
      <w:r w:rsidR="008D594F">
        <w:t>P</w:t>
      </w:r>
      <w:r w:rsidR="00B96298">
        <w:t xml:space="preserve">articipants were allocated either to the role of </w:t>
      </w:r>
      <w:r w:rsidR="00B96298">
        <w:lastRenderedPageBreak/>
        <w:t>receiver or dictator (</w:t>
      </w:r>
      <w:r w:rsidR="00116322">
        <w:t xml:space="preserve">within-subject, </w:t>
      </w:r>
      <w:r w:rsidR="00B96298">
        <w:t>order counter-balanced)</w:t>
      </w:r>
      <w:r>
        <w:t>.</w:t>
      </w:r>
      <w:r w:rsidR="00B96298">
        <w:t xml:space="preserve"> After a minimum interval of 10</w:t>
      </w:r>
      <w:r w:rsidR="003A49C1">
        <w:t xml:space="preserve"> days</w:t>
      </w:r>
      <w:r w:rsidR="00B96298">
        <w:t>, participants were recalled again and assigned to the opposite role. Of the original 2,004 participants, we successfully re-recruited</w:t>
      </w:r>
      <w:r w:rsidR="000B3672">
        <w:t xml:space="preserve"> and obtained full responses </w:t>
      </w:r>
      <w:r w:rsidR="000B3672" w:rsidRPr="00246654">
        <w:t>from</w:t>
      </w:r>
      <w:r w:rsidR="00B96298">
        <w:t xml:space="preserve"> 1</w:t>
      </w:r>
      <w:r w:rsidR="00246654">
        <w:t>138</w:t>
      </w:r>
      <w:r w:rsidR="001B64FA">
        <w:t xml:space="preserve"> / 2004</w:t>
      </w:r>
      <w:r w:rsidR="00246654">
        <w:t xml:space="preserve"> participants</w:t>
      </w:r>
      <w:r w:rsidR="00B96298">
        <w:t xml:space="preserve"> </w:t>
      </w:r>
      <w:r w:rsidR="00246654">
        <w:t>in</w:t>
      </w:r>
      <w:r w:rsidR="00B96298">
        <w:t xml:space="preserve"> the dictator role and 1</w:t>
      </w:r>
      <w:r w:rsidR="00991426">
        <w:t>136</w:t>
      </w:r>
      <w:r w:rsidR="001B64FA">
        <w:t xml:space="preserve"> / 2004</w:t>
      </w:r>
      <w:r w:rsidR="00B96298">
        <w:t xml:space="preserve"> </w:t>
      </w:r>
      <w:r w:rsidR="000B3672">
        <w:t>participants in</w:t>
      </w:r>
      <w:r w:rsidR="00B96298">
        <w:t xml:space="preserve"> the receiver role.</w:t>
      </w:r>
      <w:r>
        <w:t xml:space="preserve"> </w:t>
      </w:r>
    </w:p>
    <w:p w14:paraId="4D87F584" w14:textId="43AE6C64" w:rsidR="003A49C1" w:rsidRDefault="003A49C1" w:rsidP="00164E47">
      <w:pPr>
        <w:spacing w:line="360" w:lineRule="auto"/>
        <w:jc w:val="both"/>
      </w:pPr>
    </w:p>
    <w:p w14:paraId="4E6427F6" w14:textId="5AE7DA1D" w:rsidR="003A49C1" w:rsidRPr="002D69FC" w:rsidRDefault="003A49C1" w:rsidP="00164E47">
      <w:pPr>
        <w:spacing w:line="360" w:lineRule="auto"/>
        <w:jc w:val="both"/>
        <w:rPr>
          <w:color w:val="000000" w:themeColor="text1"/>
        </w:rPr>
      </w:pPr>
      <w:r w:rsidRPr="002D69FC">
        <w:rPr>
          <w:color w:val="000000" w:themeColor="text1"/>
        </w:rPr>
        <w:t xml:space="preserve">Our first aim was to replicate previous findings that paranoia predicts increased harmful intent attribution but </w:t>
      </w:r>
      <w:r w:rsidR="00A04A2E" w:rsidRPr="002D69FC">
        <w:rPr>
          <w:color w:val="000000" w:themeColor="text1"/>
        </w:rPr>
        <w:t>does not predict</w:t>
      </w:r>
      <w:r w:rsidRPr="002D69FC">
        <w:rPr>
          <w:color w:val="000000" w:themeColor="text1"/>
        </w:rPr>
        <w:t xml:space="preserve"> attributions of self-interest. We </w:t>
      </w:r>
      <w:r w:rsidR="00F75A5B" w:rsidRPr="002D69FC">
        <w:rPr>
          <w:color w:val="000000" w:themeColor="text1"/>
        </w:rPr>
        <w:t>have successfully replicated these core findings several times before</w:t>
      </w:r>
      <w:r w:rsidR="00761D03" w:rsidRPr="002D69FC">
        <w:rPr>
          <w:color w:val="000000" w:themeColor="text1"/>
        </w:rPr>
        <w:t xml:space="preserve"> </w:t>
      </w:r>
      <w:r w:rsidR="00761D03" w:rsidRPr="002D69FC">
        <w:rPr>
          <w:color w:val="000000" w:themeColor="text1"/>
        </w:rPr>
        <w:fldChar w:fldCharType="begin"/>
      </w:r>
      <w:r w:rsidR="00761D03" w:rsidRPr="002D69FC">
        <w:rPr>
          <w:color w:val="000000" w:themeColor="text1"/>
        </w:rPr>
        <w:instrText xml:space="preserve"> ADDIN ZOTERO_ITEM CSL_CITATION {"citationID":"Ugrk481n","properties":{"formattedCitation":"(Barnby et al., 2020; Greenburgh et al., 2019; Raihani and Bell, 2017a, 2017b; Saalfeld et al., 2018)","plainCitation":"(Barnby et al., 2020; Greenburgh et al., 2019; Raihani and Bell, 2017a, 2017b; Saalfeld et al., 2018)","noteIndex":0},"citationItems":[{"id":15185,"uris":["http://zotero.org/users/5126227/items/N292RGPZ"],"uri":["http://zotero.org/users/5126227/items/N292RGPZ"],"itemData":{"id":15185,"type":"article-journal","abstract":"The sensitization model suggests that paranoia is explained by over-sensitivity to social threat. However, this has been difficult to test experimentally. We report two preregistered social interaction studies that tested (i) whether paranoia predicted overall attribution and peak attribution of harmful intent and (ii) whether anxiety, interpersonal sensitivity and worry predicted the attribution of harmful intent. In Study 1, we recruited a large general population sample (N = 987) who serially interacted with other participants in multi-round dictator games and matched to fair, partially fair or unfair partners. Participants rated attributions of harmful intent and self-interest after each interaction. In Study 2 (N = 1011), a new sample of participants completed the same procedure and additionally completed measures of anxiety, worry and interpersonal sensitivity. As predicted, prior paranoid ideation was associated with higher and faster overall harmful intent attributions, whereas attributions of self-interest were unaffected, supporting the sensitization model. Contrary to predictions, neither worry, interpersonal sensitivity nor anxiety was associated with harmful intent attributions. In a third exploratory internal meta-analysis, we combined datasets to examine the effect of paranoia on trial-by-trial attributional changes when playing fair and unfair dictators. Paranoia was associated with a greater reduction in harmful intent attributions when playing a fair but not unfair dictator, suggesting that paranoia may also exaggerate the volatility of beliefs about the harmful intent of others.","container-title":"Royal Society Open Science","DOI":"10.1098/rsos.191525","issue":"3","journalAbbreviation":"Royal Society Open Science","note":"publisher: Royal Society","page":"191525","source":"royalsocietypublishing.org (Atypon)","title":"Paranoia, sensitization and social inference: findings from two large-scale, multi-round behavioural experiments","title-short":"Paranoia, sensitization and social inference","volume":"7","author":[{"family":"Barnby","given":"J. M."},{"family":"Deeley","given":"Q."},{"family":"Robinson","given":"O."},{"family":"Raihani","given":"N."},{"family":"Bell","given":"V."},{"family":"Mehta","given":"M. A."}],"issued":{"date-parts":[["2020"]]}}},{"id":12723,"uris":["http://zotero.org/users/5126227/items/QA2HIE36"],"uri":["http://zotero.org/users/5126227/items/QA2HIE36"],"itemData":{"id":12723,"type":"article-journal","abstract":"Current theories argue that hyper-sensitisation of social threat perception is central to paranoia. Affected people often also report misperceptions of group cohesion (conspiracy) but little is known about the cognitive mechanisms underpinning this conspiracy thinking in live interactions. In a pre-registered experimental study, we used a large-scale game theory approach (\n              N\n               &gt; 1,000) to test whether the social cohesion of an opposing group affects paranoid attributions in a mixed online and lab-based sample. Participants spanning the full population distribution of paranoia played as proposers in a modified Trust Game: they were allocated a bonus and chose how much money to send to a pair of responders which was quadrupled before reaching these responders. Responders decided how much to return to the proposers through the same process. Participants played in one of two conditions: against a cohesive group who communicated and arrived at a joint decision, or a non-cohesive group who made independent decisions. After the exchange, proposers rated the extent to which the responders’ decisions were driven by (i) self-interest and (ii) intent to harm. Although the true motives are ambiguous, cohesive responders were reliably rated by participants as being more strongly motivated by intent to harm, indicating that group cohesion affects social threat perception. Highly paranoid participants attributed harmful intent more strongly overall but were equally reactive to social cohesion as other participants. This suggests that paranoia involves a generally lowered threshold for social threat detection but with an intact sensitivity for cohesion-related group characteristics.","container-title":"PeerJ","DOI":"10.7717/peerj.7403","ISSN":"2167-8359","language":"en","page":"e7403","source":"DOI.org (Crossref)","title":"Paranoia and conspiracy: group cohesion increases harmful intent attribution in the Trust Game","title-short":"Paranoia and conspiracy","volume":"7","author":[{"family":"Greenburgh","given":"Anna"},{"family":"Bell","given":"Vaughan"},{"family":"Raihani","given":"Nichola J."}],"issued":{"date-parts":[["2019",8,16]]}}},{"id":"iyQYOOSa/giIG7oVm","uris":["http://zotero.org/users/5126227/items/HHYJ6GU5"],"uri":["http://zotero.org/users/5126227/items/HHYJ6GU5"],"itemData":{"id":"iyQYOOSa/giIG7oVm","type":"article-journal","title":"Conflict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id":"iyQYOOSa/sfwBVY32","uris":["http://zotero.org/users/5126227/items/HC68TAUG"],"uri":["http://zotero.org/users/5126227/items/HC68TAUG"],"itemData":{"id":"iyQYOOSa/sfwBVY32","type":"article-journal","title":"Paranoia and the social representation of others: a large-scale game theory approach","container-title":"Scientific Reports","page":"4544","volume":"7","issue":"1","abstract":"Current definitions of paranoia include two key components: unfounded ideas of harm and the idea that the harm is intended by others. However, attributions of harmful intent have been poorly studied and mainly using artificial scenarios rather than participation in genuine social interactions where genuine resources are at stake. Using a large non-clinical population (N = 3229) recruited online, we asked people to complete a measure of paranoid ideation before playing a modified Dictator Game, where the ‘dictator’ can allocate money to the partner (the ‘receiver’). Participants were allocated to the role of receiver or of an uninvolved observer; and evaluated to what extent they believed dictator decisions were motivated by (i) self-interest or (ii) harmful intent. All participants attributed more harmful intent to unfair as opposed to fair dictators. Paranoia had a positive effect on harmful intent attribution, for both fair and unfair dictators. Paranoia did not interact with attributions of self-interest. Importantly, highly paranoid participants attributed equally strong harmful intent to the dictator in the observer role as in the receiver role. This challenges the assumption that paranoia is mainly due to an exaggerated sense of personalised threat and suggests instead that paranoia involves a negative social representations of others.","DOI":"10.1038/s41598-017-04805-3","journalAbbreviation":"Scientific Reports","author":[{"family":"Raihani","given":"Nichola J"},{"family":"Bell","given":"Vaughan"}],"issued":{"date-parts":[["2017",7,3]]}}},{"id":9831,"uris":["http://zotero.org/users/5126227/items/QH9P4XVX"],"uri":["http://zotero.org/users/5126227/items/QH9P4XVX"],"itemData":{"id":9831,"type":"article-journal","abstract":"The ability to attribute intentions to others is a hallmark of human social cognition but is altered in paranoia. Paranoia is the most common positive symptom of psychosis but is also present to varying degrees in the general population. Epidemiological models suggest that psychosis risk is associated with low social rank and minority status, but the causal effects of status and group affiliation on paranoid thinking remain unclear. We examined whether relative social status and perceived group affiliation, respectively, affect live paranoid thinking using two large-N (N = 2030), pre-registered experiments. Interacting with someone from a higher social rank or a political out-group led to an increase in paranoid attributions of harmful intent for ambiguous actions. Pre-existing paranoia predicted a general increase in harmful intent attribution, but there was no interaction with either type of social threat: highly paranoid people showed the same magnitude of increase as non-paranoid people, although from a higher baseline. We conclude social threat in the form of low social status and out-group status affects paranoid attributions, but ongoing paranoia represents a lowered threshold for detecting social threat rather than an impaired reactivity to it.","container-title":"Royal Society Open Science","DOI":"10.1098/rsos.180569","issue":"8","journalAbbreviation":"Royal Society Open Science","page":"180569","source":"royalsocietypublishing.org (Atypon)","title":"Experimentally induced social threat increases paranoid thinking","volume":"5","author":[{"family":"Saalfeld","given":"Vaness"},{"family":"Ramadan","given":"Zeina"},{"family":"Bell","given":"Vaughan"},{"family":"Raihani","given":"Nichola J."}],"issued":{"date-parts":[["2018"]]}}}],"schema":"https://github.com/citation-style-language/schema/raw/master/csl-citation.json"} </w:instrText>
      </w:r>
      <w:r w:rsidR="00761D03" w:rsidRPr="002D69FC">
        <w:rPr>
          <w:color w:val="000000" w:themeColor="text1"/>
        </w:rPr>
        <w:fldChar w:fldCharType="separate"/>
      </w:r>
      <w:r w:rsidR="00761D03" w:rsidRPr="002D69FC">
        <w:rPr>
          <w:noProof/>
          <w:color w:val="000000" w:themeColor="text1"/>
        </w:rPr>
        <w:t>(Barnby et al., 2020; Greenburgh et al., 2019; Raihani and Bell, 2017a, 2017b; Saalfeld et al., 2018)</w:t>
      </w:r>
      <w:r w:rsidR="00761D03" w:rsidRPr="002D69FC">
        <w:rPr>
          <w:color w:val="000000" w:themeColor="text1"/>
        </w:rPr>
        <w:fldChar w:fldCharType="end"/>
      </w:r>
      <w:r w:rsidR="00761D03" w:rsidRPr="002D69FC">
        <w:rPr>
          <w:color w:val="000000" w:themeColor="text1"/>
        </w:rPr>
        <w:t xml:space="preserve">, allowing these analyses to act as a </w:t>
      </w:r>
      <w:r w:rsidR="00F75A5B" w:rsidRPr="002D69FC">
        <w:rPr>
          <w:color w:val="000000" w:themeColor="text1"/>
        </w:rPr>
        <w:t xml:space="preserve">validity check </w:t>
      </w:r>
      <w:r w:rsidR="00761D03" w:rsidRPr="002D69FC">
        <w:rPr>
          <w:color w:val="000000" w:themeColor="text1"/>
        </w:rPr>
        <w:t xml:space="preserve">for this study. We did </w:t>
      </w:r>
      <w:r w:rsidRPr="002D69FC">
        <w:rPr>
          <w:color w:val="000000" w:themeColor="text1"/>
        </w:rPr>
        <w:t xml:space="preserve">successfully replicate these key findings </w:t>
      </w:r>
      <w:r w:rsidR="00761D03" w:rsidRPr="002D69FC">
        <w:rPr>
          <w:color w:val="000000" w:themeColor="text1"/>
        </w:rPr>
        <w:t xml:space="preserve">here </w:t>
      </w:r>
      <w:r w:rsidRPr="002D69FC">
        <w:rPr>
          <w:color w:val="000000" w:themeColor="text1"/>
        </w:rPr>
        <w:t xml:space="preserve">and present these in the supplementary information rather than in the main text. </w:t>
      </w:r>
    </w:p>
    <w:p w14:paraId="51F256A5" w14:textId="77777777" w:rsidR="00421D51" w:rsidRDefault="00421D51" w:rsidP="00164E47">
      <w:pPr>
        <w:spacing w:line="360" w:lineRule="auto"/>
        <w:jc w:val="both"/>
      </w:pPr>
    </w:p>
    <w:p w14:paraId="2119E7C3" w14:textId="0700EF1B" w:rsidR="00620642" w:rsidRPr="008B1AF2" w:rsidRDefault="008B1AF2" w:rsidP="00164E47">
      <w:pPr>
        <w:spacing w:line="360" w:lineRule="auto"/>
        <w:jc w:val="both"/>
      </w:pPr>
      <w:r>
        <w:t>2.</w:t>
      </w:r>
      <w:r w:rsidR="00B00CC2">
        <w:t>2.3</w:t>
      </w:r>
      <w:r>
        <w:t xml:space="preserve"> </w:t>
      </w:r>
      <w:r w:rsidR="00620642" w:rsidRPr="008B1AF2">
        <w:t>Measur</w:t>
      </w:r>
      <w:r w:rsidR="003A49C1">
        <w:t>ing</w:t>
      </w:r>
      <w:r w:rsidR="00620642" w:rsidRPr="008B1AF2">
        <w:t xml:space="preserve"> punitive tendency</w:t>
      </w:r>
    </w:p>
    <w:p w14:paraId="6ED7D5B1" w14:textId="52F230CB" w:rsidR="00BB0A3F" w:rsidRDefault="00C22D1F" w:rsidP="00164E47">
      <w:pPr>
        <w:spacing w:line="360" w:lineRule="auto"/>
        <w:jc w:val="both"/>
      </w:pPr>
      <w:r>
        <w:t xml:space="preserve">Our Dictator Game was modified to allow receivers to pay to punish their partners after seeing how much the partner decided to send, thereby allowing us to measure punitive tendency. </w:t>
      </w:r>
      <w:r w:rsidR="00421D51">
        <w:t xml:space="preserve">We measured punitive tendency </w:t>
      </w:r>
      <w:r w:rsidR="00116322">
        <w:t xml:space="preserve">using the strategy method </w:t>
      </w:r>
      <w:r w:rsidR="00116322">
        <w:fldChar w:fldCharType="begin"/>
      </w:r>
      <w:r w:rsidR="004F69FD">
        <w:instrText xml:space="preserve"> ADDIN ZOTERO_ITEM CSL_CITATION {"citationID":"CNba6PEW","properties":{"formattedCitation":"(Brandts and Charness, 2011; Fischbacher et al., 2012)","plainCitation":"(Brandts and Charness, 2011; Fischbacher et al., 2012)","noteIndex":0},"citationItems":[{"id":"iyQYOOSa/4JlqsWMu","uris":["http://zotero.org/users/local/LNWAA8co/items/3HZER95P"],"uri":["http://zotero.org/users/local/LNWAA8co/items/3HZER95P"],"itemData":{"id":4466,"type":"article-journal","title":"The strategy versus the direct-response method: a first survey of experimental comparisons","container-title":"Experimental Economics","page":"375-398","volume":"14","issue":"3","abstract":"In this paper, we present a first survey of the literature regarding whether the strategy method, in which a responder makes conditional decisions for each possible information set, leads to different","DOI":"10.1007/s10683-011-9272-x","journalAbbreviation":"Exp Econ","author":[{"family":"Brandts","given":"Jordi"},{"family":"Charness","given":"Gary"}],"issued":{"date-parts":[["2011",1,1]]}}},{"id":"iyQYOOSa/ITDH08p6","uris":["http://zotero.org/users/local/LNWAA8co/items/CHHFHEYN"],"uri":["http://zotero.org/users/local/LNWAA8co/items/CHHFHEYN"],"itemData":{"id":2605,"type":"webpage","title":"The behavioral validity of the strategy method in public good experiments","container-title":"J Econ Psychol","URL":"http://ac.els-cdn.com/S0167487012000499/1-s2.0-S0167487012000499-main.pdf?_tid=dc7d60bc-c155-11e3-b732-00000aacb35e&amp;acdnat=1397206206_d3c0872073e560c9d2b9b409b9474a6c","author":[{"family":"Fischbacher","given":"Urs"},{"family":"Gachter","given":"Simon"},{"family":"Quercia","given":"Simone"}],"issued":{"date-parts":[["2012",4,11]]}}}],"schema":"https://github.com/citation-style-language/schema/raw/master/csl-citation.json"} </w:instrText>
      </w:r>
      <w:r w:rsidR="00116322">
        <w:fldChar w:fldCharType="separate"/>
      </w:r>
      <w:r w:rsidR="00116322">
        <w:rPr>
          <w:noProof/>
        </w:rPr>
        <w:t>(Brandts and Charness, 2011; Fischbacher et al., 2012)</w:t>
      </w:r>
      <w:r w:rsidR="00116322">
        <w:fldChar w:fldCharType="end"/>
      </w:r>
      <w:r w:rsidR="00116322">
        <w:t>. P</w:t>
      </w:r>
      <w:r w:rsidR="00421D51">
        <w:t xml:space="preserve">articipants </w:t>
      </w:r>
      <w:r w:rsidR="00116322">
        <w:t xml:space="preserve">played </w:t>
      </w:r>
      <w:r w:rsidR="00421D51">
        <w:t>in the receiver role i</w:t>
      </w:r>
      <w:r w:rsidR="00B96298">
        <w:t xml:space="preserve">n </w:t>
      </w:r>
      <w:r w:rsidR="00116322">
        <w:t xml:space="preserve">a </w:t>
      </w:r>
      <w:r w:rsidR="00421D51">
        <w:t>Dictator Game</w:t>
      </w:r>
      <w:r w:rsidR="00116322">
        <w:t>, where they started</w:t>
      </w:r>
      <w:r w:rsidR="00421D51">
        <w:t xml:space="preserve"> with $0.05 and the dictator with $0.55. </w:t>
      </w:r>
      <w:r w:rsidR="00116322">
        <w:t xml:space="preserve">Participants </w:t>
      </w:r>
      <w:r w:rsidR="00421D51">
        <w:t>were asked to state for every possible donation by the dictator, whether the</w:t>
      </w:r>
      <w:r w:rsidR="00116322">
        <w:t xml:space="preserve">y </w:t>
      </w:r>
      <w:r w:rsidR="00421D51">
        <w:t xml:space="preserve">would choose to punish or not. Punishment involved spending $0.05 to levy a fine of $0.15 on the dictator. </w:t>
      </w:r>
      <w:r w:rsidR="00620642">
        <w:t>Endowing receivers with $0.05 at the start of the task therefore meant that receivers could still afford to punish, even when dictators sent nothing to the</w:t>
      </w:r>
      <w:r w:rsidR="00116322">
        <w:t>m</w:t>
      </w:r>
      <w:r w:rsidR="00620642">
        <w:t xml:space="preserve">. </w:t>
      </w:r>
      <w:r w:rsidR="00421D51">
        <w:t xml:space="preserve">Receivers were truthfully informed that they would be matched with a real partner and that their punishment decision would be executed based on what the partner donated. </w:t>
      </w:r>
    </w:p>
    <w:p w14:paraId="78E4DA9D" w14:textId="1673AD9B" w:rsidR="00421D51" w:rsidRDefault="00BB0A3F" w:rsidP="00164E47">
      <w:pPr>
        <w:spacing w:line="360" w:lineRule="auto"/>
        <w:jc w:val="both"/>
      </w:pPr>
      <w:r>
        <w:t xml:space="preserve"> </w:t>
      </w:r>
    </w:p>
    <w:p w14:paraId="62103C17" w14:textId="2041924B" w:rsidR="00521B1C" w:rsidRDefault="00C22D1F" w:rsidP="00164E47">
      <w:pPr>
        <w:spacing w:line="360" w:lineRule="auto"/>
        <w:jc w:val="both"/>
      </w:pPr>
      <w:r>
        <w:t>2.2.4 Measuring generosity</w:t>
      </w:r>
    </w:p>
    <w:p w14:paraId="7EA3BEA1" w14:textId="1A2F9AE3" w:rsidR="008F4336" w:rsidRDefault="00C22D1F" w:rsidP="00164E47">
      <w:pPr>
        <w:spacing w:line="360" w:lineRule="auto"/>
        <w:jc w:val="both"/>
      </w:pPr>
      <w:r>
        <w:t>P</w:t>
      </w:r>
      <w:r w:rsidR="00521B1C">
        <w:t xml:space="preserve">articipants </w:t>
      </w:r>
      <w:r>
        <w:t xml:space="preserve">also </w:t>
      </w:r>
      <w:r w:rsidR="00521B1C">
        <w:t xml:space="preserve">played in the dictator role </w:t>
      </w:r>
      <w:r>
        <w:t>and</w:t>
      </w:r>
      <w:r w:rsidR="00521B1C">
        <w:t xml:space="preserve"> could choose to send any amount to the partner (from $0.00 to $0.55 in $0.05 increments). In this game, participants knew that the receiver had a punishment option, as described above</w:t>
      </w:r>
      <w:r>
        <w:t xml:space="preserve">. </w:t>
      </w:r>
      <w:r w:rsidR="006B1E05">
        <w:t>We aimed</w:t>
      </w:r>
      <w:r w:rsidR="00A06DEE">
        <w:t xml:space="preserve"> to </w:t>
      </w:r>
      <w:r w:rsidR="006B1E05">
        <w:t xml:space="preserve">replicate our previous finding that </w:t>
      </w:r>
      <w:r w:rsidR="00A06DEE">
        <w:t xml:space="preserve">paranoia would </w:t>
      </w:r>
      <w:r w:rsidR="006B1E05">
        <w:t xml:space="preserve">be associated with </w:t>
      </w:r>
      <w:r w:rsidR="00A06DEE">
        <w:t>lower generosity in the Dictator Game</w:t>
      </w:r>
      <w:r w:rsidR="00A04A2E">
        <w:t xml:space="preserve"> </w:t>
      </w:r>
      <w:r w:rsidR="00A04A2E">
        <w:fldChar w:fldCharType="begin"/>
      </w:r>
      <w:r w:rsidR="004F69FD">
        <w:instrText xml:space="preserve"> ADDIN ZOTERO_ITEM CSL_CITATION {"citationID":"Use1yv3v","properties":{"formattedCitation":"(Raihani and Bell, 2017a)","plainCitation":"(Raihani and Bell, 2017a)","noteIndex":0},"citationItems":[{"id":"iyQYOOSa/giIG7oVm","uris":["http://zotero.org/users/5126227/items/HHYJ6GU5"],"uri":["http://zotero.org/users/5126227/items/HHYJ6GU5"],"itemData":{"id":"e7eoWPNF/pIXQ52fr","type":"article-journal","title":"Conflict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J"},{"family":"Bell","given":"V"}],"issued":{"date-parts":[["2017",10]]}}}],"schema":"https://github.com/citation-style-language/schema/raw/master/csl-citation.json"} </w:instrText>
      </w:r>
      <w:r w:rsidR="00A04A2E">
        <w:fldChar w:fldCharType="separate"/>
      </w:r>
      <w:r w:rsidR="00A04A2E">
        <w:rPr>
          <w:noProof/>
        </w:rPr>
        <w:t>(Raihani and Bell, 2017a)</w:t>
      </w:r>
      <w:r w:rsidR="00A04A2E">
        <w:fldChar w:fldCharType="end"/>
      </w:r>
      <w:r w:rsidR="006B1E05">
        <w:t xml:space="preserve">, </w:t>
      </w:r>
      <w:r w:rsidR="00BB0A3F">
        <w:t xml:space="preserve">as well as exploring whether NSP or PRO also explained variance in the decision to send money to the partner. </w:t>
      </w:r>
    </w:p>
    <w:p w14:paraId="6AD52198" w14:textId="77777777" w:rsidR="006B1E05" w:rsidRDefault="006B1E05" w:rsidP="00164E47">
      <w:pPr>
        <w:spacing w:line="360" w:lineRule="auto"/>
        <w:jc w:val="both"/>
      </w:pPr>
    </w:p>
    <w:p w14:paraId="0D76AED8" w14:textId="24B5DCC0" w:rsidR="008F4336" w:rsidRDefault="008B1AF2" w:rsidP="00164E47">
      <w:pPr>
        <w:spacing w:line="360" w:lineRule="auto"/>
        <w:jc w:val="both"/>
      </w:pPr>
      <w:r w:rsidRPr="008B1AF2">
        <w:t>2.</w:t>
      </w:r>
      <w:r w:rsidR="00B00CC2">
        <w:t>3</w:t>
      </w:r>
      <w:r w:rsidRPr="008B1AF2">
        <w:t xml:space="preserve"> </w:t>
      </w:r>
      <w:r w:rsidR="008F4336" w:rsidRPr="008B1AF2">
        <w:t>Statistical analyses</w:t>
      </w:r>
    </w:p>
    <w:p w14:paraId="054806ED" w14:textId="70E3832F" w:rsidR="006701AD" w:rsidRDefault="008F4336" w:rsidP="00164E47">
      <w:pPr>
        <w:spacing w:line="360" w:lineRule="auto"/>
        <w:jc w:val="both"/>
      </w:pPr>
      <w:r>
        <w:t>All data were analysed using R package 3.5.0. Models were constructed as cumulative link models (</w:t>
      </w:r>
      <w:proofErr w:type="spellStart"/>
      <w:r>
        <w:t>clm</w:t>
      </w:r>
      <w:proofErr w:type="spellEnd"/>
      <w:r>
        <w:t>) using the using the R package ordinal</w:t>
      </w:r>
      <w:r w:rsidR="00D3740F">
        <w:t xml:space="preserve"> </w:t>
      </w:r>
      <w:r w:rsidR="00D3740F">
        <w:fldChar w:fldCharType="begin"/>
      </w:r>
      <w:r w:rsidR="008C33A0">
        <w:instrText xml:space="preserve"> ADDIN ZOTERO_ITEM CSL_CITATION {"citationID":"3vFSAK4H","properties":{"formattedCitation":"(Christensen, 2018)","plainCitation":"(Christensen, 2018)","noteIndex":0},"citationItems":[{"id":3218,"uris":["http://zotero.org/users/5126227/items/2BGXK95N"],"uri":["http://zotero.org/users/5126227/items/2BGXK95N"],"itemData":{"id":3218,"type":"book","abstract":"Implementation of cumulative link (mixed) models also known as ordered regression models, proportional odds models, proportional hazards models for grouped survival times and ordered logit/probit/... models. Estimation is via maximum likelihood and mixed models are fitted with the Laplace approximation and adaptive Gauss-Hermite quadrature. Multiple random effect terms are allowed and they may be nested, crossed or partially nested/crossed. Restrictions of symmetry and equidistance can be imposed on the thresholds (cut-points/intercepts). Standard model methods are available (summary, anova, drop-methods, step, confint, predict etc.) in addition to profile methods and slice methods for visualizing the likelihood function and checking convergence.","source":"R-Packages","title":"ordinal: Regression Models for Ordinal Data","title-short":"ordinal","URL":"https://CRAN.R-project.org/package=ordinal","version":"2018.8-25","author":[{"family":"Christensen","given":"Rune Haubo Bojesen"}],"accessed":{"date-parts":[["2018",9,18]]},"issued":{"date-parts":[["2018",8,25]]}}}],"schema":"https://github.com/citation-style-language/schema/raw/master/csl-citation.json"} </w:instrText>
      </w:r>
      <w:r w:rsidR="00D3740F">
        <w:fldChar w:fldCharType="separate"/>
      </w:r>
      <w:r w:rsidR="00D3740F">
        <w:rPr>
          <w:noProof/>
        </w:rPr>
        <w:t>(Christensen, 2018)</w:t>
      </w:r>
      <w:r w:rsidR="00D3740F">
        <w:fldChar w:fldCharType="end"/>
      </w:r>
      <w:r>
        <w:t xml:space="preserve">. </w:t>
      </w:r>
      <w:r w:rsidR="005D78A6">
        <w:t xml:space="preserve">Commonality analyses were performed using R package </w:t>
      </w:r>
      <w:proofErr w:type="spellStart"/>
      <w:r w:rsidR="005D78A6">
        <w:t>yhat</w:t>
      </w:r>
      <w:proofErr w:type="spellEnd"/>
      <w:r w:rsidR="005D78A6">
        <w:t xml:space="preserve"> </w:t>
      </w:r>
      <w:r w:rsidR="00A2242A">
        <w:fldChar w:fldCharType="begin"/>
      </w:r>
      <w:r w:rsidR="008C33A0">
        <w:instrText xml:space="preserve"> ADDIN ZOTERO_ITEM CSL_CITATION {"citationID":"AbFztmYD","properties":{"formattedCitation":"(Nimon et al., 2013)","plainCitation":"(Nimon et al., 2013)","noteIndex":0},"citationItems":[{"id":3221,"uris":["http://zotero.org/users/5126227/items/522CMV4Q"],"uri":["http://zotero.org/users/5126227/items/522CMV4Q"],"itemData":{"id":3221,"type":"book","abstract":"The purpose of this package is to provide methods to interpret multiple linear regression and canonical correlation results including beta weights,structure coefficients, validity coefficients, product measures, relative weights, all-possible-subsets regression, dominance analysis, commonality analysis, and adjusted effect sizes.","source":"R-Packages","title":"yhat: Interpreting Regression Effects","title-short":"yhat","URL":"https://CRAN.R-project.org/package=yhat","version":"2.0-0","author":[{"family":"Nimon","given":"Kim"},{"family":"Oswald","given":"Fred"},{"family":"Roberts","given":"and J. Kyle"}],"accessed":{"date-parts":[["2018",9,18]]},"issued":{"date-parts":[["2013",9,16]]}}}],"schema":"https://github.com/citation-style-language/schema/raw/master/csl-citation.json"} </w:instrText>
      </w:r>
      <w:r w:rsidR="00A2242A">
        <w:fldChar w:fldCharType="separate"/>
      </w:r>
      <w:r w:rsidR="00D3740F">
        <w:rPr>
          <w:noProof/>
        </w:rPr>
        <w:t>(Nimon et al., 2013)</w:t>
      </w:r>
      <w:r w:rsidR="00A2242A">
        <w:fldChar w:fldCharType="end"/>
      </w:r>
      <w:r w:rsidR="005D78A6">
        <w:t>. All statistical details available in supplementary information.</w:t>
      </w:r>
      <w:r w:rsidR="00594D22">
        <w:t xml:space="preserve"> </w:t>
      </w:r>
      <w:r w:rsidR="005D78A6">
        <w:t>All deviations from planned analyses are reported in supplementary information.</w:t>
      </w:r>
    </w:p>
    <w:p w14:paraId="30784108" w14:textId="0AC65F8B" w:rsidR="00EA1F7C" w:rsidRDefault="00EA1F7C" w:rsidP="00164E47">
      <w:pPr>
        <w:spacing w:line="360" w:lineRule="auto"/>
        <w:jc w:val="both"/>
      </w:pPr>
    </w:p>
    <w:p w14:paraId="1063A135" w14:textId="1EA85143" w:rsidR="00EA1F7C" w:rsidRPr="008B1AF2" w:rsidRDefault="00B00CC2" w:rsidP="00164E47">
      <w:pPr>
        <w:spacing w:line="360" w:lineRule="auto"/>
        <w:jc w:val="both"/>
      </w:pPr>
      <w:r>
        <w:t xml:space="preserve">2.4 </w:t>
      </w:r>
      <w:r w:rsidR="00EA1F7C" w:rsidRPr="008B1AF2">
        <w:t>Pre-registered predictions</w:t>
      </w:r>
    </w:p>
    <w:p w14:paraId="0D8CAF4E" w14:textId="77777777" w:rsidR="008F4336" w:rsidRDefault="008F4336" w:rsidP="00164E47">
      <w:pPr>
        <w:autoSpaceDE w:val="0"/>
        <w:autoSpaceDN w:val="0"/>
        <w:adjustRightInd w:val="0"/>
        <w:spacing w:line="360" w:lineRule="auto"/>
        <w:jc w:val="both"/>
        <w:rPr>
          <w:rFonts w:eastAsiaTheme="minorEastAsia"/>
        </w:rPr>
      </w:pPr>
    </w:p>
    <w:p w14:paraId="692E0D37" w14:textId="0EAF4CC9" w:rsidR="008F4336" w:rsidRPr="008F4336" w:rsidRDefault="009A5591" w:rsidP="00164E47">
      <w:pPr>
        <w:autoSpaceDE w:val="0"/>
        <w:autoSpaceDN w:val="0"/>
        <w:adjustRightInd w:val="0"/>
        <w:spacing w:line="360" w:lineRule="auto"/>
        <w:jc w:val="both"/>
        <w:rPr>
          <w:rFonts w:eastAsiaTheme="minorEastAsia"/>
          <w:i/>
        </w:rPr>
      </w:pPr>
      <w:r>
        <w:rPr>
          <w:rFonts w:eastAsiaTheme="minorEastAsia"/>
          <w:i/>
        </w:rPr>
        <w:t>1</w:t>
      </w:r>
      <w:r w:rsidR="00EA1F7C" w:rsidRPr="008F4336">
        <w:rPr>
          <w:rFonts w:eastAsiaTheme="minorEastAsia"/>
          <w:i/>
        </w:rPr>
        <w:t xml:space="preserve">. </w:t>
      </w:r>
      <w:r w:rsidR="00F1726A">
        <w:rPr>
          <w:rFonts w:eastAsiaTheme="minorEastAsia"/>
          <w:i/>
        </w:rPr>
        <w:t>Paranoi</w:t>
      </w:r>
      <w:r w:rsidR="00A04A2E">
        <w:rPr>
          <w:rFonts w:eastAsiaTheme="minorEastAsia"/>
          <w:i/>
        </w:rPr>
        <w:t xml:space="preserve">a </w:t>
      </w:r>
      <w:r w:rsidR="00EA1F7C" w:rsidRPr="008F4336">
        <w:rPr>
          <w:rFonts w:eastAsiaTheme="minorEastAsia"/>
          <w:i/>
        </w:rPr>
        <w:t>is</w:t>
      </w:r>
      <w:r w:rsidR="00F1726A">
        <w:rPr>
          <w:rFonts w:eastAsiaTheme="minorEastAsia"/>
          <w:i/>
        </w:rPr>
        <w:t xml:space="preserve"> positively</w:t>
      </w:r>
      <w:r w:rsidR="00EA1F7C" w:rsidRPr="008F4336">
        <w:rPr>
          <w:rFonts w:eastAsiaTheme="minorEastAsia"/>
          <w:i/>
        </w:rPr>
        <w:t xml:space="preserve"> associated with </w:t>
      </w:r>
      <w:r w:rsidR="007A1C4A">
        <w:rPr>
          <w:rFonts w:eastAsiaTheme="minorEastAsia"/>
          <w:i/>
        </w:rPr>
        <w:t xml:space="preserve">reward value of antisocial behaviour (NSP) and </w:t>
      </w:r>
      <w:r w:rsidR="00F1726A">
        <w:rPr>
          <w:rFonts w:eastAsiaTheme="minorEastAsia"/>
          <w:i/>
        </w:rPr>
        <w:t xml:space="preserve">negatively associated with </w:t>
      </w:r>
      <w:r w:rsidR="007A1C4A">
        <w:rPr>
          <w:rFonts w:eastAsiaTheme="minorEastAsia"/>
          <w:i/>
        </w:rPr>
        <w:t>reward value of prosocial behaviour (PRO).</w:t>
      </w:r>
    </w:p>
    <w:p w14:paraId="5B90937E" w14:textId="5748430A" w:rsidR="008F4336" w:rsidRPr="007A5114" w:rsidRDefault="008F4336" w:rsidP="007A5114">
      <w:pPr>
        <w:spacing w:line="360" w:lineRule="auto"/>
        <w:jc w:val="both"/>
      </w:pPr>
      <w:r>
        <w:t xml:space="preserve">We calculated the mean NSP and </w:t>
      </w:r>
      <w:r w:rsidR="007A1C4A">
        <w:t xml:space="preserve">PRO </w:t>
      </w:r>
      <w:r>
        <w:t>scores for each participant and then converted these scores to ordinal categorical variables, each with 7 levels. These ordinal categorical variables were set as the response terms in two separate cumulative link models (</w:t>
      </w:r>
      <w:proofErr w:type="spellStart"/>
      <w:r>
        <w:t>clm</w:t>
      </w:r>
      <w:proofErr w:type="spellEnd"/>
      <w:r>
        <w:t xml:space="preserve">) and we included </w:t>
      </w:r>
      <w:r w:rsidR="006B67E7">
        <w:t xml:space="preserve">paranoia, age and gender as explanatory terms in each model. </w:t>
      </w:r>
    </w:p>
    <w:p w14:paraId="1EFA5898" w14:textId="0A4B1238" w:rsidR="00EA1F7C" w:rsidRDefault="00EA1F7C" w:rsidP="00164E47">
      <w:pPr>
        <w:autoSpaceDE w:val="0"/>
        <w:autoSpaceDN w:val="0"/>
        <w:adjustRightInd w:val="0"/>
        <w:spacing w:line="360" w:lineRule="auto"/>
        <w:jc w:val="both"/>
        <w:rPr>
          <w:rFonts w:eastAsiaTheme="minorEastAsia"/>
          <w:i/>
        </w:rPr>
      </w:pPr>
      <w:r w:rsidRPr="008F4336">
        <w:rPr>
          <w:rFonts w:eastAsiaTheme="minorEastAsia"/>
          <w:i/>
        </w:rPr>
        <w:br/>
      </w:r>
      <w:r w:rsidR="009A5591">
        <w:rPr>
          <w:rFonts w:eastAsiaTheme="minorEastAsia"/>
          <w:i/>
        </w:rPr>
        <w:t>2</w:t>
      </w:r>
      <w:r w:rsidR="008F4336" w:rsidRPr="008F4336">
        <w:rPr>
          <w:rFonts w:eastAsiaTheme="minorEastAsia"/>
          <w:i/>
        </w:rPr>
        <w:t>. Paranoi</w:t>
      </w:r>
      <w:r w:rsidR="00A04A2E">
        <w:rPr>
          <w:rFonts w:eastAsiaTheme="minorEastAsia"/>
          <w:i/>
        </w:rPr>
        <w:t>a</w:t>
      </w:r>
      <w:r w:rsidR="00CA60D9">
        <w:rPr>
          <w:rFonts w:eastAsiaTheme="minorEastAsia"/>
          <w:i/>
        </w:rPr>
        <w:t>, harmful intent attribution and NSP</w:t>
      </w:r>
      <w:r w:rsidR="008F4336" w:rsidRPr="008F4336">
        <w:rPr>
          <w:rFonts w:eastAsiaTheme="minorEastAsia"/>
          <w:i/>
        </w:rPr>
        <w:t xml:space="preserve"> </w:t>
      </w:r>
      <w:r w:rsidR="00C22D1F">
        <w:rPr>
          <w:rFonts w:eastAsiaTheme="minorEastAsia"/>
          <w:i/>
        </w:rPr>
        <w:t>are associated with</w:t>
      </w:r>
      <w:r w:rsidR="00C22D1F" w:rsidRPr="008F4336">
        <w:rPr>
          <w:rFonts w:eastAsiaTheme="minorEastAsia"/>
          <w:i/>
        </w:rPr>
        <w:t xml:space="preserve"> </w:t>
      </w:r>
      <w:r w:rsidR="008F4336" w:rsidRPr="008F4336">
        <w:rPr>
          <w:rFonts w:eastAsiaTheme="minorEastAsia"/>
          <w:i/>
        </w:rPr>
        <w:t xml:space="preserve">increased </w:t>
      </w:r>
      <w:r w:rsidR="00C22D1F">
        <w:rPr>
          <w:rFonts w:eastAsiaTheme="minorEastAsia"/>
          <w:i/>
        </w:rPr>
        <w:t>punitive tendency</w:t>
      </w:r>
      <w:r w:rsidR="008F4336" w:rsidRPr="008F4336">
        <w:rPr>
          <w:rFonts w:eastAsiaTheme="minorEastAsia"/>
          <w:i/>
        </w:rPr>
        <w:t>.</w:t>
      </w:r>
    </w:p>
    <w:p w14:paraId="052590D2" w14:textId="6CADBC36" w:rsidR="008F4336" w:rsidRDefault="00C22D1F" w:rsidP="00164E47">
      <w:pPr>
        <w:spacing w:line="360" w:lineRule="auto"/>
        <w:jc w:val="both"/>
      </w:pPr>
      <w:r>
        <w:t>We measured punitive tendency in two main ways: [1] p</w:t>
      </w:r>
      <w:r w:rsidR="008F4336">
        <w:t xml:space="preserve">unishment threshold (the maximum offer in the Dictator Game that participants said they would be willing to punish) and </w:t>
      </w:r>
      <w:r>
        <w:t xml:space="preserve">[2] </w:t>
      </w:r>
      <w:r w:rsidR="008F4336">
        <w:t>total number of offers punished</w:t>
      </w:r>
      <w:r>
        <w:t>. These two variables</w:t>
      </w:r>
      <w:r w:rsidR="008F4336">
        <w:t xml:space="preserve"> were set as the respective ordinal categorical response terms (9 and 8 levels, respectively) in two </w:t>
      </w:r>
      <w:proofErr w:type="spellStart"/>
      <w:r w:rsidR="008F4336">
        <w:t>clms</w:t>
      </w:r>
      <w:proofErr w:type="spellEnd"/>
      <w:r w:rsidR="008F4336">
        <w:t>. For both models, we included the</w:t>
      </w:r>
      <w:r w:rsidR="006B67E7">
        <w:t xml:space="preserve"> following</w:t>
      </w:r>
      <w:r w:rsidR="008F4336">
        <w:t xml:space="preserve"> </w:t>
      </w:r>
      <w:r w:rsidR="004D0BCA">
        <w:t>explanatory terms</w:t>
      </w:r>
      <w:r w:rsidR="006B67E7">
        <w:t>:</w:t>
      </w:r>
      <w:r w:rsidR="004D0BCA">
        <w:t xml:space="preserve"> paranoia, NSP, </w:t>
      </w:r>
      <w:r w:rsidR="008F4336">
        <w:t>harmful intent attribution</w:t>
      </w:r>
      <w:r w:rsidR="006B67E7">
        <w:t>, age</w:t>
      </w:r>
      <w:r w:rsidR="00516045">
        <w:t xml:space="preserve">, comprehension, </w:t>
      </w:r>
      <w:r w:rsidR="006B67E7">
        <w:t>gender</w:t>
      </w:r>
      <w:r w:rsidR="00516045">
        <w:t xml:space="preserve"> and order</w:t>
      </w:r>
      <w:r w:rsidR="008F4336">
        <w:t>.</w:t>
      </w:r>
      <w:r w:rsidR="00EE367F">
        <w:t xml:space="preserve"> </w:t>
      </w:r>
      <w:r w:rsidR="00691EB6">
        <w:t xml:space="preserve">We performed a commonality analysis </w:t>
      </w:r>
      <w:r w:rsidR="00CA60D9">
        <w:t>to establish the unique and shared variance in the outcome variable explained by paranoia, harmful intent attribution and NSP.</w:t>
      </w:r>
    </w:p>
    <w:p w14:paraId="0D31745A" w14:textId="77777777" w:rsidR="008F4336" w:rsidRPr="008F4336" w:rsidRDefault="008F4336" w:rsidP="00164E47">
      <w:pPr>
        <w:autoSpaceDE w:val="0"/>
        <w:autoSpaceDN w:val="0"/>
        <w:adjustRightInd w:val="0"/>
        <w:spacing w:line="360" w:lineRule="auto"/>
        <w:jc w:val="both"/>
        <w:rPr>
          <w:rFonts w:eastAsiaTheme="minorEastAsia"/>
          <w:i/>
        </w:rPr>
      </w:pPr>
    </w:p>
    <w:p w14:paraId="533845A6" w14:textId="3A78B202" w:rsidR="00CA60D9" w:rsidRDefault="009A5591" w:rsidP="00164E47">
      <w:pPr>
        <w:spacing w:line="360" w:lineRule="auto"/>
        <w:jc w:val="both"/>
        <w:rPr>
          <w:rFonts w:eastAsiaTheme="minorEastAsia"/>
          <w:i/>
        </w:rPr>
      </w:pPr>
      <w:r>
        <w:rPr>
          <w:rFonts w:eastAsiaTheme="minorEastAsia"/>
          <w:i/>
        </w:rPr>
        <w:t>3</w:t>
      </w:r>
      <w:r w:rsidR="008F4336" w:rsidRPr="008F4336">
        <w:rPr>
          <w:rFonts w:eastAsiaTheme="minorEastAsia"/>
          <w:i/>
        </w:rPr>
        <w:t>. Paranoi</w:t>
      </w:r>
      <w:r w:rsidR="00A04A2E">
        <w:rPr>
          <w:rFonts w:eastAsiaTheme="minorEastAsia"/>
          <w:i/>
        </w:rPr>
        <w:t>a</w:t>
      </w:r>
      <w:r w:rsidR="00CA60D9">
        <w:rPr>
          <w:rFonts w:eastAsiaTheme="minorEastAsia"/>
          <w:i/>
        </w:rPr>
        <w:t>, NSP and PRO</w:t>
      </w:r>
      <w:r w:rsidR="008F4336" w:rsidRPr="008F4336">
        <w:rPr>
          <w:rFonts w:eastAsiaTheme="minorEastAsia"/>
          <w:i/>
        </w:rPr>
        <w:t xml:space="preserve"> </w:t>
      </w:r>
      <w:r w:rsidR="00FC379B">
        <w:rPr>
          <w:rFonts w:eastAsiaTheme="minorEastAsia"/>
          <w:i/>
        </w:rPr>
        <w:t>are associated with</w:t>
      </w:r>
      <w:r w:rsidR="00FC379B" w:rsidRPr="008F4336">
        <w:rPr>
          <w:rFonts w:eastAsiaTheme="minorEastAsia"/>
          <w:i/>
        </w:rPr>
        <w:t xml:space="preserve"> </w:t>
      </w:r>
      <w:r w:rsidR="008F4336" w:rsidRPr="008F4336">
        <w:rPr>
          <w:rFonts w:eastAsiaTheme="minorEastAsia"/>
          <w:i/>
        </w:rPr>
        <w:t>decreased ge</w:t>
      </w:r>
      <w:r w:rsidR="00CA60D9">
        <w:rPr>
          <w:rFonts w:eastAsiaTheme="minorEastAsia"/>
          <w:i/>
        </w:rPr>
        <w:t xml:space="preserve">nerosity in the Dictator Game. </w:t>
      </w:r>
    </w:p>
    <w:p w14:paraId="3D494CAE" w14:textId="6E55350F" w:rsidR="008F4336" w:rsidRPr="00D3740F" w:rsidRDefault="00CA60D9" w:rsidP="00164E47">
      <w:pPr>
        <w:spacing w:line="360" w:lineRule="auto"/>
        <w:jc w:val="both"/>
        <w:rPr>
          <w:rFonts w:eastAsiaTheme="minorEastAsia"/>
          <w:i/>
        </w:rPr>
      </w:pPr>
      <w:r w:rsidRPr="008F4336" w:rsidDel="00CA60D9">
        <w:rPr>
          <w:rFonts w:eastAsiaTheme="minorEastAsia"/>
          <w:i/>
        </w:rPr>
        <w:t xml:space="preserve"> </w:t>
      </w:r>
      <w:r w:rsidR="008F4336">
        <w:t xml:space="preserve">Dictator donation was set as a six-level ordinal categorical response variable in a </w:t>
      </w:r>
      <w:proofErr w:type="spellStart"/>
      <w:r w:rsidR="008F4336">
        <w:t>clm</w:t>
      </w:r>
      <w:proofErr w:type="spellEnd"/>
      <w:r w:rsidR="008F4336">
        <w:t>, with the explanatory terms paranoia, NSP</w:t>
      </w:r>
      <w:r w:rsidR="006B67E7">
        <w:t xml:space="preserve">, </w:t>
      </w:r>
      <w:r w:rsidR="001419CD">
        <w:t>PRO</w:t>
      </w:r>
      <w:r w:rsidR="006B67E7">
        <w:t>, age</w:t>
      </w:r>
      <w:r w:rsidR="00516045">
        <w:t>, comprehension</w:t>
      </w:r>
      <w:r w:rsidR="006B67E7">
        <w:t xml:space="preserve"> and gender</w:t>
      </w:r>
      <w:r w:rsidR="00EE367F">
        <w:t xml:space="preserve">. We subsequently conducted a </w:t>
      </w:r>
      <w:r>
        <w:t xml:space="preserve">commonality </w:t>
      </w:r>
      <w:r w:rsidR="00EE367F">
        <w:t xml:space="preserve">analysis to explore </w:t>
      </w:r>
      <w:r>
        <w:t>the unique and shared explanatory value of paranoia, PRO and NSP on the outcome variable.</w:t>
      </w:r>
    </w:p>
    <w:p w14:paraId="4EBB99B8" w14:textId="77777777" w:rsidR="004D0BCA" w:rsidRPr="004D0BCA" w:rsidRDefault="004D0BCA" w:rsidP="00164E47">
      <w:pPr>
        <w:spacing w:line="360" w:lineRule="auto"/>
        <w:jc w:val="both"/>
        <w:rPr>
          <w:b/>
        </w:rPr>
      </w:pPr>
    </w:p>
    <w:p w14:paraId="2CA09026" w14:textId="77777777" w:rsidR="00D27312" w:rsidRDefault="00D27312">
      <w:pPr>
        <w:rPr>
          <w:b/>
        </w:rPr>
      </w:pPr>
      <w:r>
        <w:rPr>
          <w:b/>
        </w:rPr>
        <w:br w:type="page"/>
      </w:r>
    </w:p>
    <w:p w14:paraId="0E050F2C" w14:textId="19AD055C" w:rsidR="009A11A0" w:rsidRDefault="008B1AF2" w:rsidP="00164E47">
      <w:pPr>
        <w:spacing w:line="360" w:lineRule="auto"/>
        <w:jc w:val="both"/>
        <w:rPr>
          <w:b/>
        </w:rPr>
      </w:pPr>
      <w:r>
        <w:rPr>
          <w:b/>
        </w:rPr>
        <w:lastRenderedPageBreak/>
        <w:t xml:space="preserve">3. </w:t>
      </w:r>
      <w:r w:rsidR="009A11A0" w:rsidRPr="007903B0">
        <w:rPr>
          <w:b/>
        </w:rPr>
        <w:t>Results</w:t>
      </w:r>
    </w:p>
    <w:p w14:paraId="766843C0" w14:textId="77777777" w:rsidR="00D3740F" w:rsidRPr="007903B0" w:rsidRDefault="00D3740F" w:rsidP="00164E47">
      <w:pPr>
        <w:spacing w:line="360" w:lineRule="auto"/>
        <w:jc w:val="both"/>
        <w:rPr>
          <w:b/>
        </w:rPr>
      </w:pPr>
    </w:p>
    <w:p w14:paraId="7323D0F7" w14:textId="43916F28" w:rsidR="00CA2A47" w:rsidRDefault="00246654" w:rsidP="00164E47">
      <w:pPr>
        <w:spacing w:line="360" w:lineRule="auto"/>
        <w:jc w:val="both"/>
      </w:pPr>
      <w:r w:rsidRPr="005F025D">
        <w:t>Participants in this study spanned the full range for paranoid thinking</w:t>
      </w:r>
      <w:r w:rsidR="001A6430" w:rsidRPr="005F025D">
        <w:t xml:space="preserve"> captured by the GPTS</w:t>
      </w:r>
      <w:r w:rsidRPr="005F025D">
        <w:t xml:space="preserve"> (range: 32-160; mean: </w:t>
      </w:r>
      <w:r w:rsidR="00CA2A47" w:rsidRPr="005F025D">
        <w:t>55.3 ± 0.6</w:t>
      </w:r>
      <w:r w:rsidR="00D27312" w:rsidRPr="005F025D">
        <w:t>)</w:t>
      </w:r>
      <w:r w:rsidR="00CA2A47" w:rsidRPr="005F025D">
        <w:t xml:space="preserve">. </w:t>
      </w:r>
      <w:r w:rsidR="001334D3" w:rsidRPr="005F025D">
        <w:t>168 of the 2,004 (~</w:t>
      </w:r>
      <w:r w:rsidR="006B67E7" w:rsidRPr="005F025D">
        <w:t xml:space="preserve"> </w:t>
      </w:r>
      <w:r w:rsidR="001334D3" w:rsidRPr="005F025D">
        <w:t xml:space="preserve">8 %) participants scored higher than 101.9, the mean score for clinical patients in the original Green et al. (2008) study. </w:t>
      </w:r>
      <w:r w:rsidRPr="005F025D">
        <w:t>M</w:t>
      </w:r>
      <w:r w:rsidR="00CA2A47" w:rsidRPr="005F025D">
        <w:t>ean NSP score was 1.98 ± 0.03 (</w:t>
      </w:r>
      <w:r w:rsidRPr="005F025D">
        <w:t xml:space="preserve">range: </w:t>
      </w:r>
      <w:r w:rsidR="00CA2A47" w:rsidRPr="005F025D">
        <w:t>1-7</w:t>
      </w:r>
      <w:r w:rsidRPr="005F025D">
        <w:t>)</w:t>
      </w:r>
      <w:r w:rsidR="00CA2A47" w:rsidRPr="005F025D">
        <w:t xml:space="preserve">, and mean </w:t>
      </w:r>
      <w:r w:rsidR="004311CF" w:rsidRPr="005F025D">
        <w:t>PRO</w:t>
      </w:r>
      <w:r w:rsidR="00CA2A47" w:rsidRPr="005F025D">
        <w:t xml:space="preserve"> score was 6.13 ± 0.02</w:t>
      </w:r>
      <w:r w:rsidRPr="005F025D">
        <w:t xml:space="preserve"> (range: 1-7)</w:t>
      </w:r>
      <w:r w:rsidR="00CA2A47" w:rsidRPr="005F025D">
        <w:t xml:space="preserve">. As expected, NSP and </w:t>
      </w:r>
      <w:r w:rsidR="00272007" w:rsidRPr="005F025D">
        <w:t xml:space="preserve">PRO </w:t>
      </w:r>
      <w:r w:rsidR="00CA2A47" w:rsidRPr="005F025D">
        <w:t>were negatively correlated (correlation coefficient -0.58, p</w:t>
      </w:r>
      <w:r w:rsidR="006B67E7" w:rsidRPr="005F025D">
        <w:t xml:space="preserve"> </w:t>
      </w:r>
      <w:r w:rsidR="00CA2A47" w:rsidRPr="005F025D">
        <w:t>&lt; 0.001).</w:t>
      </w:r>
    </w:p>
    <w:p w14:paraId="40148699" w14:textId="465A6880" w:rsidR="00CA2A47" w:rsidRDefault="00CA2A47" w:rsidP="00164E47">
      <w:pPr>
        <w:spacing w:line="360" w:lineRule="auto"/>
        <w:jc w:val="both"/>
      </w:pPr>
    </w:p>
    <w:p w14:paraId="7D8B6058" w14:textId="3117807A" w:rsidR="009A5591" w:rsidRPr="007A5114" w:rsidRDefault="009A5591" w:rsidP="009A5591">
      <w:pPr>
        <w:autoSpaceDE w:val="0"/>
        <w:autoSpaceDN w:val="0"/>
        <w:adjustRightInd w:val="0"/>
        <w:spacing w:line="360" w:lineRule="auto"/>
        <w:jc w:val="both"/>
      </w:pPr>
      <w:r>
        <w:rPr>
          <w:rFonts w:eastAsiaTheme="minorEastAsia"/>
          <w:i/>
        </w:rPr>
        <w:t>Prediction 1</w:t>
      </w:r>
      <w:r w:rsidRPr="008F4336">
        <w:rPr>
          <w:rFonts w:eastAsiaTheme="minorEastAsia"/>
          <w:i/>
        </w:rPr>
        <w:t>. Paranoi</w:t>
      </w:r>
      <w:r w:rsidR="00A04A2E">
        <w:rPr>
          <w:rFonts w:eastAsiaTheme="minorEastAsia"/>
          <w:i/>
        </w:rPr>
        <w:t>a</w:t>
      </w:r>
      <w:r w:rsidR="001A6430">
        <w:rPr>
          <w:rFonts w:eastAsiaTheme="minorEastAsia"/>
          <w:i/>
        </w:rPr>
        <w:t xml:space="preserve"> </w:t>
      </w:r>
      <w:r w:rsidRPr="008F4336">
        <w:rPr>
          <w:rFonts w:eastAsiaTheme="minorEastAsia"/>
          <w:i/>
        </w:rPr>
        <w:t xml:space="preserve">is </w:t>
      </w:r>
      <w:r w:rsidR="001A6430">
        <w:rPr>
          <w:rFonts w:eastAsiaTheme="minorEastAsia"/>
          <w:i/>
        </w:rPr>
        <w:t xml:space="preserve">positively </w:t>
      </w:r>
      <w:r w:rsidRPr="008F4336">
        <w:rPr>
          <w:rFonts w:eastAsiaTheme="minorEastAsia"/>
          <w:i/>
        </w:rPr>
        <w:t xml:space="preserve">associated with </w:t>
      </w:r>
      <w:r>
        <w:rPr>
          <w:rFonts w:eastAsiaTheme="minorEastAsia"/>
          <w:i/>
        </w:rPr>
        <w:t xml:space="preserve">reward value of antisocial behaviour (NSP) and </w:t>
      </w:r>
      <w:r w:rsidR="001A6430">
        <w:rPr>
          <w:rFonts w:eastAsiaTheme="minorEastAsia"/>
          <w:i/>
        </w:rPr>
        <w:t xml:space="preserve">negatively associated with </w:t>
      </w:r>
      <w:r>
        <w:rPr>
          <w:rFonts w:eastAsiaTheme="minorEastAsia"/>
          <w:i/>
        </w:rPr>
        <w:t>reward value of prosocial behaviour (PRO).</w:t>
      </w:r>
    </w:p>
    <w:p w14:paraId="66FC1D48" w14:textId="77777777" w:rsidR="009A5591" w:rsidRDefault="009A5591" w:rsidP="009A5591">
      <w:pPr>
        <w:spacing w:line="360" w:lineRule="auto"/>
        <w:jc w:val="both"/>
      </w:pPr>
      <w:r>
        <w:t xml:space="preserve">Paranoia was positively associated with NSP (estimate: 1.50, CI: 1.32, 1.69, Figure 1a) and negatively associated with PRO (estimate: -1.26, CI: -1.46, -1.06, Figure 1b). Men had higher NSP (estimate: 0.76, CI: 0.58, 0.95) and lower PRO (estimate: -0.73, CI: -0.95, -0.51) than women. NSP was negatively associated with age (estimate: -0.36, CI: -0.56, -0.16) and older people had slightly higher PRO (estimate: 0.04, CI: 0.04, 0.52) than younger people. </w:t>
      </w:r>
    </w:p>
    <w:p w14:paraId="1567C1A8" w14:textId="77777777" w:rsidR="009A5591" w:rsidRDefault="009A5591" w:rsidP="00164E47">
      <w:pPr>
        <w:spacing w:line="360" w:lineRule="auto"/>
        <w:jc w:val="both"/>
      </w:pPr>
    </w:p>
    <w:p w14:paraId="146995FA" w14:textId="1DB3D09D" w:rsidR="00D51183" w:rsidRDefault="00D51183" w:rsidP="007A5114">
      <w:pPr>
        <w:spacing w:line="360" w:lineRule="auto"/>
        <w:jc w:val="both"/>
      </w:pPr>
    </w:p>
    <w:p w14:paraId="1656E484" w14:textId="1C472C9E" w:rsidR="00D51183" w:rsidRDefault="00D51183" w:rsidP="007A5114">
      <w:pPr>
        <w:spacing w:line="360" w:lineRule="auto"/>
        <w:jc w:val="both"/>
      </w:pPr>
    </w:p>
    <w:p w14:paraId="71876DA8" w14:textId="19561EB4" w:rsidR="00D51183" w:rsidRDefault="00D51183" w:rsidP="007A5114">
      <w:pPr>
        <w:spacing w:line="360" w:lineRule="auto"/>
        <w:jc w:val="both"/>
      </w:pPr>
    </w:p>
    <w:p w14:paraId="17E4B02B" w14:textId="57EF05DD" w:rsidR="00D51183" w:rsidRDefault="00D51183" w:rsidP="007A5114">
      <w:pPr>
        <w:spacing w:line="360" w:lineRule="auto"/>
        <w:jc w:val="both"/>
      </w:pPr>
    </w:p>
    <w:p w14:paraId="07C0C981" w14:textId="2C3ED583" w:rsidR="00D51183" w:rsidRDefault="00D51183" w:rsidP="007A5114">
      <w:pPr>
        <w:spacing w:line="360" w:lineRule="auto"/>
        <w:jc w:val="both"/>
      </w:pPr>
    </w:p>
    <w:p w14:paraId="0191D218" w14:textId="6213AFD7" w:rsidR="00D51183" w:rsidRDefault="00D51183" w:rsidP="007A5114">
      <w:pPr>
        <w:spacing w:line="360" w:lineRule="auto"/>
        <w:jc w:val="both"/>
      </w:pPr>
    </w:p>
    <w:p w14:paraId="284DBCC6" w14:textId="616C082E" w:rsidR="00D51183" w:rsidRDefault="00D51183" w:rsidP="007A5114">
      <w:pPr>
        <w:spacing w:line="360" w:lineRule="auto"/>
        <w:jc w:val="both"/>
      </w:pPr>
    </w:p>
    <w:p w14:paraId="0882B910" w14:textId="2447DEBE" w:rsidR="00D51183" w:rsidRDefault="00D51183" w:rsidP="007A5114">
      <w:pPr>
        <w:spacing w:line="360" w:lineRule="auto"/>
        <w:jc w:val="both"/>
      </w:pPr>
    </w:p>
    <w:p w14:paraId="7438F39D" w14:textId="77777777" w:rsidR="00D51183" w:rsidRDefault="00D51183" w:rsidP="007A5114">
      <w:pPr>
        <w:spacing w:line="360" w:lineRule="auto"/>
        <w:jc w:val="both"/>
      </w:pPr>
    </w:p>
    <w:p w14:paraId="1955F0B7" w14:textId="692A9059" w:rsidR="00D51183" w:rsidRDefault="00D51183" w:rsidP="007A5114">
      <w:pPr>
        <w:spacing w:line="360" w:lineRule="auto"/>
        <w:jc w:val="both"/>
      </w:pPr>
    </w:p>
    <w:p w14:paraId="7337805F" w14:textId="0ADDA1FE" w:rsidR="00C16711" w:rsidRDefault="00C16711" w:rsidP="007A5114">
      <w:pPr>
        <w:spacing w:line="360" w:lineRule="auto"/>
        <w:jc w:val="both"/>
      </w:pPr>
      <w:r>
        <w:rPr>
          <w:noProof/>
          <w:lang w:eastAsia="en-GB"/>
        </w:rPr>
        <w:lastRenderedPageBreak/>
        <w:drawing>
          <wp:inline distT="0" distB="0" distL="0" distR="0" wp14:anchorId="739C4A7D" wp14:editId="35D139B6">
            <wp:extent cx="5727700" cy="572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a:blip r:embed="rId8">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C5B38F8" w14:textId="7A766F1B" w:rsidR="00C16711" w:rsidRDefault="00C16711" w:rsidP="00C16711">
      <w:r w:rsidRPr="00181E7C">
        <w:rPr>
          <w:b/>
        </w:rPr>
        <w:t xml:space="preserve">Figure 1. The association between paranoia and (A) negative social potency and (B) enjoyment of prosocial interactions. </w:t>
      </w:r>
      <w:r>
        <w:t>Paranoia was converted into a nine-level categorical variable for ease of visualisation. Boxplots display</w:t>
      </w:r>
      <w:r w:rsidR="003647F5">
        <w:t xml:space="preserve"> the</w:t>
      </w:r>
      <w:r>
        <w:t xml:space="preserve"> interquartile range with the midline representing the median value. Whiskers are the largest (and smallest) values occurring within 1.5 times of the IQ-range. Raw data are overlaid on top of the boxplots. </w:t>
      </w:r>
    </w:p>
    <w:p w14:paraId="20C390B1" w14:textId="4D649CE5" w:rsidR="00C16711" w:rsidRDefault="00C16711" w:rsidP="00C16711"/>
    <w:p w14:paraId="27E3D1DD" w14:textId="59414A6C" w:rsidR="00C16711" w:rsidRDefault="00C16711" w:rsidP="00C16711"/>
    <w:p w14:paraId="38D0E8FA" w14:textId="4C6E099D" w:rsidR="00C16711" w:rsidRDefault="00C16711" w:rsidP="00C16711"/>
    <w:p w14:paraId="3473AF17" w14:textId="0874FA9F" w:rsidR="00C16711" w:rsidRDefault="00C16711" w:rsidP="00C16711"/>
    <w:p w14:paraId="0ABF5A24" w14:textId="5021196B" w:rsidR="00C16711" w:rsidRDefault="00C16711" w:rsidP="00C16711"/>
    <w:p w14:paraId="20D8EECC" w14:textId="1F6355B3" w:rsidR="00C16711" w:rsidRDefault="00C16711" w:rsidP="00C16711"/>
    <w:p w14:paraId="40DB766A" w14:textId="1C480F5B" w:rsidR="00C16711" w:rsidRDefault="00C16711" w:rsidP="00C16711"/>
    <w:p w14:paraId="1381DAFF" w14:textId="1DBA43B9" w:rsidR="00C16711" w:rsidRDefault="00C16711" w:rsidP="00C16711"/>
    <w:p w14:paraId="0DC4CD47" w14:textId="31144766" w:rsidR="00C16711" w:rsidRDefault="00C16711" w:rsidP="00C16711"/>
    <w:p w14:paraId="7203EEB7" w14:textId="77777777" w:rsidR="00C16711" w:rsidRDefault="00C16711" w:rsidP="00C16711"/>
    <w:p w14:paraId="469DBB8B" w14:textId="77777777" w:rsidR="00C16711" w:rsidRPr="00C16711" w:rsidRDefault="00C16711" w:rsidP="00164E47">
      <w:pPr>
        <w:autoSpaceDE w:val="0"/>
        <w:autoSpaceDN w:val="0"/>
        <w:adjustRightInd w:val="0"/>
        <w:spacing w:line="360" w:lineRule="auto"/>
        <w:jc w:val="both"/>
        <w:rPr>
          <w:rFonts w:eastAsiaTheme="minorEastAsia"/>
        </w:rPr>
      </w:pPr>
    </w:p>
    <w:p w14:paraId="2B493239" w14:textId="77777777" w:rsidR="00C16711" w:rsidRDefault="00C16711" w:rsidP="00164E47">
      <w:pPr>
        <w:autoSpaceDE w:val="0"/>
        <w:autoSpaceDN w:val="0"/>
        <w:adjustRightInd w:val="0"/>
        <w:spacing w:line="360" w:lineRule="auto"/>
        <w:jc w:val="both"/>
        <w:rPr>
          <w:rFonts w:eastAsiaTheme="minorEastAsia"/>
          <w:i/>
        </w:rPr>
      </w:pPr>
    </w:p>
    <w:p w14:paraId="5D6C316F" w14:textId="512C759E" w:rsidR="00FC379B" w:rsidRDefault="00CA60D9" w:rsidP="00FC379B">
      <w:pPr>
        <w:autoSpaceDE w:val="0"/>
        <w:autoSpaceDN w:val="0"/>
        <w:adjustRightInd w:val="0"/>
        <w:spacing w:line="360" w:lineRule="auto"/>
        <w:jc w:val="both"/>
        <w:rPr>
          <w:rFonts w:eastAsiaTheme="minorEastAsia"/>
          <w:i/>
        </w:rPr>
      </w:pPr>
      <w:r>
        <w:rPr>
          <w:rFonts w:eastAsiaTheme="minorEastAsia"/>
          <w:i/>
        </w:rPr>
        <w:t xml:space="preserve">Prediction </w:t>
      </w:r>
      <w:r w:rsidR="009A5591">
        <w:rPr>
          <w:rFonts w:eastAsiaTheme="minorEastAsia"/>
          <w:i/>
        </w:rPr>
        <w:t>2</w:t>
      </w:r>
      <w:r>
        <w:rPr>
          <w:rFonts w:eastAsiaTheme="minorEastAsia"/>
          <w:i/>
        </w:rPr>
        <w:t xml:space="preserve">. </w:t>
      </w:r>
      <w:r w:rsidR="00FC379B" w:rsidRPr="008F4336">
        <w:rPr>
          <w:rFonts w:eastAsiaTheme="minorEastAsia"/>
          <w:i/>
        </w:rPr>
        <w:t>Paranoi</w:t>
      </w:r>
      <w:r w:rsidR="00A04A2E">
        <w:rPr>
          <w:rFonts w:eastAsiaTheme="minorEastAsia"/>
          <w:i/>
        </w:rPr>
        <w:t>a</w:t>
      </w:r>
      <w:r w:rsidR="00FC379B">
        <w:rPr>
          <w:rFonts w:eastAsiaTheme="minorEastAsia"/>
          <w:i/>
        </w:rPr>
        <w:t>, harmful intent attribution and NSP</w:t>
      </w:r>
      <w:r w:rsidR="00FC379B" w:rsidRPr="008F4336">
        <w:rPr>
          <w:rFonts w:eastAsiaTheme="minorEastAsia"/>
          <w:i/>
        </w:rPr>
        <w:t xml:space="preserve"> </w:t>
      </w:r>
      <w:r w:rsidR="00FC379B">
        <w:rPr>
          <w:rFonts w:eastAsiaTheme="minorEastAsia"/>
          <w:i/>
        </w:rPr>
        <w:t>are associated with</w:t>
      </w:r>
      <w:r w:rsidR="00FC379B" w:rsidRPr="008F4336">
        <w:rPr>
          <w:rFonts w:eastAsiaTheme="minorEastAsia"/>
          <w:i/>
        </w:rPr>
        <w:t xml:space="preserve"> increased </w:t>
      </w:r>
      <w:r w:rsidR="00FC379B">
        <w:rPr>
          <w:rFonts w:eastAsiaTheme="minorEastAsia"/>
          <w:i/>
        </w:rPr>
        <w:t>punitive tendency</w:t>
      </w:r>
      <w:r w:rsidR="00FC379B" w:rsidRPr="008F4336">
        <w:rPr>
          <w:rFonts w:eastAsiaTheme="minorEastAsia"/>
          <w:i/>
        </w:rPr>
        <w:t>.</w:t>
      </w:r>
    </w:p>
    <w:p w14:paraId="3804BF71" w14:textId="7B4D7CB7" w:rsidR="008E71E7" w:rsidRDefault="00EF7CD0" w:rsidP="00FC379B">
      <w:pPr>
        <w:autoSpaceDE w:val="0"/>
        <w:autoSpaceDN w:val="0"/>
        <w:adjustRightInd w:val="0"/>
        <w:spacing w:line="360" w:lineRule="auto"/>
        <w:jc w:val="both"/>
      </w:pPr>
      <w:r>
        <w:t>Most people (734 / 1136, 64.6 %) did not punish any dictator offers in this task, although 122/1136 people (10</w:t>
      </w:r>
      <w:r w:rsidR="00FF6EA8">
        <w:t xml:space="preserve">.7 %) punished offers of $0.25 or above. Harmful intent attribution and NSP </w:t>
      </w:r>
      <w:r w:rsidR="009A5591">
        <w:t xml:space="preserve">were </w:t>
      </w:r>
      <w:r w:rsidR="00FF6EA8">
        <w:t xml:space="preserve">both positively </w:t>
      </w:r>
      <w:r w:rsidR="009A5591">
        <w:t xml:space="preserve">associated with </w:t>
      </w:r>
      <w:r w:rsidR="00FF6EA8">
        <w:t>willingness to punish high</w:t>
      </w:r>
      <w:r w:rsidR="00B90F2C">
        <w:t>er</w:t>
      </w:r>
      <w:r w:rsidR="00FF6EA8">
        <w:t xml:space="preserve"> donations (Table </w:t>
      </w:r>
      <w:r w:rsidR="00076A7D">
        <w:t>S</w:t>
      </w:r>
      <w:r w:rsidR="00FF6EA8">
        <w:t>3</w:t>
      </w:r>
      <w:r w:rsidR="00F26B79">
        <w:t xml:space="preserve">, Table </w:t>
      </w:r>
      <w:r w:rsidR="00076A7D">
        <w:t>S</w:t>
      </w:r>
      <w:r w:rsidR="00F26B79">
        <w:t>4</w:t>
      </w:r>
      <w:r w:rsidR="00F57C5D">
        <w:t xml:space="preserve">, Figure </w:t>
      </w:r>
      <w:r w:rsidR="00101FBB">
        <w:t>2</w:t>
      </w:r>
      <w:r w:rsidR="00FF6EA8">
        <w:t>)</w:t>
      </w:r>
      <w:r w:rsidR="007B12FD">
        <w:t xml:space="preserve"> and increased total number of offers punished (Table </w:t>
      </w:r>
      <w:r w:rsidR="00076A7D">
        <w:t>S</w:t>
      </w:r>
      <w:r w:rsidR="00F26B79">
        <w:t>5</w:t>
      </w:r>
      <w:r w:rsidR="007B12FD">
        <w:t>)</w:t>
      </w:r>
      <w:r w:rsidR="00FF6EA8">
        <w:t xml:space="preserve"> though </w:t>
      </w:r>
      <w:r w:rsidR="00A04A2E">
        <w:t>we did not detect a main</w:t>
      </w:r>
      <w:r w:rsidR="00F57C5D">
        <w:t xml:space="preserve"> </w:t>
      </w:r>
      <w:r w:rsidR="00FF6EA8">
        <w:t>effect of paranoia</w:t>
      </w:r>
      <w:r w:rsidR="007B12FD">
        <w:t xml:space="preserve"> on </w:t>
      </w:r>
      <w:r w:rsidR="00F2597B">
        <w:t xml:space="preserve">either </w:t>
      </w:r>
      <w:r w:rsidR="007B12FD">
        <w:t xml:space="preserve">punishment threshold </w:t>
      </w:r>
      <w:r w:rsidR="00F2597B">
        <w:t>or</w:t>
      </w:r>
      <w:r w:rsidR="007B12FD">
        <w:t xml:space="preserve"> number of offers punished</w:t>
      </w:r>
      <w:r w:rsidR="00341277">
        <w:t xml:space="preserve"> (Figure 2)</w:t>
      </w:r>
      <w:r w:rsidR="00FF6EA8">
        <w:t>.</w:t>
      </w:r>
      <w:r w:rsidR="00E40165">
        <w:t xml:space="preserve"> </w:t>
      </w:r>
    </w:p>
    <w:p w14:paraId="293111D1" w14:textId="77777777" w:rsidR="008E71E7" w:rsidRDefault="008E71E7" w:rsidP="00164E47">
      <w:pPr>
        <w:spacing w:line="360" w:lineRule="auto"/>
        <w:jc w:val="both"/>
      </w:pPr>
    </w:p>
    <w:p w14:paraId="5A854881" w14:textId="016EA142" w:rsidR="00246654" w:rsidRDefault="001334D3" w:rsidP="00164E47">
      <w:pPr>
        <w:spacing w:line="360" w:lineRule="auto"/>
        <w:jc w:val="both"/>
      </w:pPr>
      <w:r>
        <w:t>The failure to detect an independent main effect of paranoi</w:t>
      </w:r>
      <w:r w:rsidR="00A04A2E">
        <w:t xml:space="preserve">a </w:t>
      </w:r>
      <w:r>
        <w:t>on punishment decisions</w:t>
      </w:r>
      <w:r w:rsidR="008E71E7">
        <w:t xml:space="preserve"> may have been due to the high collinearity between paranoia, and NSP and harmful intent attribution, respectively. </w:t>
      </w:r>
      <w:r w:rsidR="009A4ED9">
        <w:t xml:space="preserve">This issue was confirmed by the pre-registered </w:t>
      </w:r>
      <w:r w:rsidR="00F26B79">
        <w:t xml:space="preserve">commonality analysis (Table </w:t>
      </w:r>
      <w:r w:rsidR="00076A7D">
        <w:t>S</w:t>
      </w:r>
      <w:r w:rsidR="00F26B79">
        <w:t>4) which revealed that paranoia uniquely accounted for 6.</w:t>
      </w:r>
      <w:r>
        <w:t>03</w:t>
      </w:r>
      <w:r w:rsidR="00F26B79">
        <w:t xml:space="preserve"> % of the explained variance in punishment threshol</w:t>
      </w:r>
      <w:r w:rsidR="00F26B79" w:rsidRPr="00C51EAF">
        <w:t>d</w:t>
      </w:r>
      <w:r w:rsidR="002F2E0F" w:rsidRPr="00C51EAF">
        <w:t xml:space="preserve"> and </w:t>
      </w:r>
      <w:r w:rsidR="00C51EAF" w:rsidRPr="00C51EAF">
        <w:t>6.58</w:t>
      </w:r>
      <w:r w:rsidR="002F2E0F" w:rsidRPr="00C51EAF">
        <w:t xml:space="preserve"> % of va</w:t>
      </w:r>
      <w:r w:rsidR="002F2E0F">
        <w:t>riance in total number of offers punished. Together with other terms in the models, paranoia</w:t>
      </w:r>
      <w:r w:rsidR="00F26B79">
        <w:t xml:space="preserve"> jointly explained a further </w:t>
      </w:r>
      <w:r>
        <w:t>30.6</w:t>
      </w:r>
      <w:r w:rsidR="00F26B79">
        <w:t xml:space="preserve"> %</w:t>
      </w:r>
      <w:r w:rsidR="002F2E0F">
        <w:t xml:space="preserve"> of the variance in each model</w:t>
      </w:r>
      <w:r w:rsidR="00F26B79">
        <w:t xml:space="preserve">. Harmful intent attribution had the largest unique explanatory power, accounting for </w:t>
      </w:r>
      <w:r>
        <w:t>61.7</w:t>
      </w:r>
      <w:r w:rsidR="00F26B79">
        <w:t xml:space="preserve"> % of the total variance in punishment threshold that was explained by our model</w:t>
      </w:r>
      <w:r w:rsidR="00C51EAF">
        <w:t>, and 60.9</w:t>
      </w:r>
      <w:r w:rsidR="002F2E0F">
        <w:t xml:space="preserve"> % of the variance in total number of offers punished</w:t>
      </w:r>
      <w:r w:rsidR="00F57C5D">
        <w:t xml:space="preserve"> (Table </w:t>
      </w:r>
      <w:r w:rsidR="00076A7D">
        <w:t>S</w:t>
      </w:r>
      <w:r w:rsidR="00814F5D">
        <w:t>4</w:t>
      </w:r>
      <w:r w:rsidR="00F57C5D">
        <w:t>)</w:t>
      </w:r>
      <w:r w:rsidR="00F26B79">
        <w:t xml:space="preserve">.  </w:t>
      </w:r>
    </w:p>
    <w:p w14:paraId="245A2A34" w14:textId="2D6226D5" w:rsidR="00C16711" w:rsidRDefault="00C16711" w:rsidP="00164E47">
      <w:pPr>
        <w:spacing w:line="360" w:lineRule="auto"/>
        <w:jc w:val="both"/>
      </w:pPr>
    </w:p>
    <w:p w14:paraId="2978727A" w14:textId="41E0AEA6" w:rsidR="00C16711" w:rsidRDefault="00C16711" w:rsidP="00164E47">
      <w:pPr>
        <w:spacing w:line="360" w:lineRule="auto"/>
        <w:jc w:val="both"/>
      </w:pPr>
    </w:p>
    <w:p w14:paraId="6398E700" w14:textId="343E24A0" w:rsidR="00C16711" w:rsidRDefault="00C16711" w:rsidP="00164E47">
      <w:pPr>
        <w:spacing w:line="360" w:lineRule="auto"/>
        <w:jc w:val="both"/>
      </w:pPr>
    </w:p>
    <w:p w14:paraId="2DFE1338" w14:textId="593E7813" w:rsidR="00C16711" w:rsidRDefault="00C16711" w:rsidP="00164E47">
      <w:pPr>
        <w:spacing w:line="360" w:lineRule="auto"/>
        <w:jc w:val="both"/>
      </w:pPr>
    </w:p>
    <w:p w14:paraId="4C9154C8" w14:textId="77777777" w:rsidR="00C16711" w:rsidRDefault="00C16711" w:rsidP="00164E47">
      <w:pPr>
        <w:spacing w:line="360" w:lineRule="auto"/>
        <w:jc w:val="both"/>
      </w:pPr>
    </w:p>
    <w:p w14:paraId="55FD1B6D" w14:textId="6EE14274" w:rsidR="002F2E0F" w:rsidRDefault="00C16711" w:rsidP="00164E47">
      <w:pPr>
        <w:spacing w:line="360" w:lineRule="auto"/>
        <w:jc w:val="both"/>
      </w:pPr>
      <w:r>
        <w:rPr>
          <w:noProof/>
          <w:lang w:eastAsia="en-GB"/>
        </w:rPr>
        <w:lastRenderedPageBreak/>
        <w:drawing>
          <wp:inline distT="0" distB="0" distL="0" distR="0" wp14:anchorId="52BF3E98" wp14:editId="62E0BD74">
            <wp:extent cx="5727700" cy="3384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df"/>
                    <pic:cNvPicPr/>
                  </pic:nvPicPr>
                  <pic:blipFill>
                    <a:blip r:embed="rId9">
                      <a:extLst>
                        <a:ext uri="{28A0092B-C50C-407E-A947-70E740481C1C}">
                          <a14:useLocalDpi xmlns:a14="http://schemas.microsoft.com/office/drawing/2010/main" val="0"/>
                        </a:ext>
                      </a:extLst>
                    </a:blip>
                    <a:stretch>
                      <a:fillRect/>
                    </a:stretch>
                  </pic:blipFill>
                  <pic:spPr>
                    <a:xfrm>
                      <a:off x="0" y="0"/>
                      <a:ext cx="5727700" cy="3384550"/>
                    </a:xfrm>
                    <a:prstGeom prst="rect">
                      <a:avLst/>
                    </a:prstGeom>
                  </pic:spPr>
                </pic:pic>
              </a:graphicData>
            </a:graphic>
          </wp:inline>
        </w:drawing>
      </w:r>
    </w:p>
    <w:p w14:paraId="5F4526AB" w14:textId="4DC59010" w:rsidR="00C16711" w:rsidRDefault="00C16711" w:rsidP="00C16711">
      <w:r w:rsidRPr="00181E7C">
        <w:rPr>
          <w:b/>
        </w:rPr>
        <w:t xml:space="preserve">Figure </w:t>
      </w:r>
      <w:r>
        <w:rPr>
          <w:b/>
        </w:rPr>
        <w:t>2</w:t>
      </w:r>
      <w:r w:rsidRPr="00181E7C">
        <w:rPr>
          <w:b/>
        </w:rPr>
        <w:t xml:space="preserve">. </w:t>
      </w:r>
      <w:r>
        <w:rPr>
          <w:b/>
        </w:rPr>
        <w:t xml:space="preserve">Maximum offer punished as a function of </w:t>
      </w:r>
      <w:r w:rsidRPr="00181E7C">
        <w:rPr>
          <w:b/>
        </w:rPr>
        <w:t xml:space="preserve">(A) </w:t>
      </w:r>
      <w:r>
        <w:rPr>
          <w:b/>
        </w:rPr>
        <w:t xml:space="preserve">paranoia, </w:t>
      </w:r>
      <w:r w:rsidRPr="00181E7C">
        <w:rPr>
          <w:b/>
        </w:rPr>
        <w:t xml:space="preserve">(B) </w:t>
      </w:r>
      <w:r>
        <w:rPr>
          <w:b/>
        </w:rPr>
        <w:t>harmful intent attribution and (C) negative social potency</w:t>
      </w:r>
      <w:r w:rsidRPr="00181E7C">
        <w:rPr>
          <w:b/>
        </w:rPr>
        <w:t>.</w:t>
      </w:r>
      <w:r>
        <w:t xml:space="preserve"> For ease of visualisation, these plots omit all data points where participants did not punish a partner. Higher maximum offer punished indicates a greater punitive tendency. Raw data are overlaid onto boxplots, with a jitter function. The terms on the x-axes were converted to categorical variables (paranoia = 9 levels, harmful intent attribution = 10 levels, NSP = 3 levels).</w:t>
      </w:r>
    </w:p>
    <w:p w14:paraId="4B0EE267" w14:textId="0D303BE0" w:rsidR="00C16711" w:rsidRDefault="00C16711" w:rsidP="00164E47">
      <w:pPr>
        <w:spacing w:line="360" w:lineRule="auto"/>
        <w:jc w:val="both"/>
        <w:rPr>
          <w:rFonts w:eastAsiaTheme="minorEastAsia"/>
          <w:i/>
        </w:rPr>
      </w:pPr>
    </w:p>
    <w:p w14:paraId="07A8F78F" w14:textId="67ED6C62" w:rsidR="00C16711" w:rsidRDefault="00C16711" w:rsidP="00164E47">
      <w:pPr>
        <w:spacing w:line="360" w:lineRule="auto"/>
        <w:jc w:val="both"/>
        <w:rPr>
          <w:rFonts w:eastAsiaTheme="minorEastAsia"/>
          <w:i/>
        </w:rPr>
      </w:pPr>
    </w:p>
    <w:p w14:paraId="68DB2644" w14:textId="117748D0" w:rsidR="00AE08E8" w:rsidRDefault="00AE08E8" w:rsidP="00164E47">
      <w:pPr>
        <w:spacing w:line="360" w:lineRule="auto"/>
        <w:jc w:val="both"/>
        <w:rPr>
          <w:rFonts w:eastAsiaTheme="minorEastAsia"/>
          <w:i/>
        </w:rPr>
      </w:pPr>
      <w:r>
        <w:rPr>
          <w:rFonts w:eastAsiaTheme="minorEastAsia"/>
          <w:i/>
        </w:rPr>
        <w:t xml:space="preserve">Prediction </w:t>
      </w:r>
      <w:r w:rsidRPr="008F4336">
        <w:rPr>
          <w:rFonts w:eastAsiaTheme="minorEastAsia"/>
          <w:i/>
        </w:rPr>
        <w:t xml:space="preserve">4. </w:t>
      </w:r>
      <w:r w:rsidR="00CA60D9" w:rsidRPr="008F4336">
        <w:rPr>
          <w:rFonts w:eastAsiaTheme="minorEastAsia"/>
          <w:i/>
        </w:rPr>
        <w:t>Paranoi</w:t>
      </w:r>
      <w:r w:rsidR="00A04A2E">
        <w:rPr>
          <w:rFonts w:eastAsiaTheme="minorEastAsia"/>
          <w:i/>
        </w:rPr>
        <w:t>a</w:t>
      </w:r>
      <w:r w:rsidR="00CA60D9">
        <w:rPr>
          <w:rFonts w:eastAsiaTheme="minorEastAsia"/>
          <w:i/>
        </w:rPr>
        <w:t>, NSP and PRO</w:t>
      </w:r>
      <w:r w:rsidR="00CA60D9" w:rsidRPr="008F4336">
        <w:rPr>
          <w:rFonts w:eastAsiaTheme="minorEastAsia"/>
          <w:i/>
        </w:rPr>
        <w:t xml:space="preserve"> </w:t>
      </w:r>
      <w:r w:rsidR="00FC379B">
        <w:rPr>
          <w:rFonts w:eastAsiaTheme="minorEastAsia"/>
          <w:i/>
        </w:rPr>
        <w:t>are associated with</w:t>
      </w:r>
      <w:r w:rsidR="00FC379B" w:rsidRPr="008F4336">
        <w:rPr>
          <w:rFonts w:eastAsiaTheme="minorEastAsia"/>
          <w:i/>
        </w:rPr>
        <w:t xml:space="preserve"> </w:t>
      </w:r>
      <w:r w:rsidR="00CA60D9" w:rsidRPr="008F4336">
        <w:rPr>
          <w:rFonts w:eastAsiaTheme="minorEastAsia"/>
          <w:i/>
        </w:rPr>
        <w:t>decreased ge</w:t>
      </w:r>
      <w:r w:rsidR="00CA60D9">
        <w:rPr>
          <w:rFonts w:eastAsiaTheme="minorEastAsia"/>
          <w:i/>
        </w:rPr>
        <w:t>nerosity in the Dictator Game.</w:t>
      </w:r>
    </w:p>
    <w:p w14:paraId="6A1213B7" w14:textId="7C0092E3" w:rsidR="00246654" w:rsidRDefault="00246654" w:rsidP="00164E47">
      <w:pPr>
        <w:spacing w:line="360" w:lineRule="auto"/>
        <w:jc w:val="both"/>
      </w:pPr>
      <w:r>
        <w:t>In the dictator role, participants sent on average $0.14 ± 0.00 (~ 25 %) of the endowment to their partner.</w:t>
      </w:r>
      <w:r w:rsidR="00A61A05">
        <w:t xml:space="preserve"> </w:t>
      </w:r>
      <w:r w:rsidR="009A5591">
        <w:t xml:space="preserve">People who had higher </w:t>
      </w:r>
      <w:r w:rsidR="007E05EE">
        <w:t xml:space="preserve">PRO </w:t>
      </w:r>
      <w:r w:rsidR="009A5591">
        <w:t>scores sent</w:t>
      </w:r>
      <w:r w:rsidR="00A61A05">
        <w:t xml:space="preserve"> larger amount</w:t>
      </w:r>
      <w:r w:rsidR="009A5591">
        <w:t>s</w:t>
      </w:r>
      <w:r w:rsidR="00A61A05">
        <w:t xml:space="preserve"> to the partner (</w:t>
      </w:r>
      <w:r w:rsidR="002C2842">
        <w:t xml:space="preserve">Table </w:t>
      </w:r>
      <w:r w:rsidR="009A5591">
        <w:t>S</w:t>
      </w:r>
      <w:r w:rsidR="002C2842">
        <w:t>6</w:t>
      </w:r>
      <w:r w:rsidR="00341277">
        <w:t>, Figure 3</w:t>
      </w:r>
      <w:r w:rsidR="00A61A05">
        <w:t xml:space="preserve">) though there was no additional effect of NSP, probably due to </w:t>
      </w:r>
      <w:r w:rsidR="004311CF">
        <w:t>PRO</w:t>
      </w:r>
      <w:r w:rsidR="00A61A05">
        <w:t xml:space="preserve"> and NSP being strongly negatively correlated. </w:t>
      </w:r>
      <w:r w:rsidR="002C66C9">
        <w:t>Commonality analysis revealed that NSP uniquely accounted</w:t>
      </w:r>
      <w:r w:rsidR="005E5C70">
        <w:t xml:space="preserve"> for</w:t>
      </w:r>
      <w:r w:rsidR="002C66C9">
        <w:t xml:space="preserve"> 2.5 % of the explained variance in generosity, and 38 % when considered in combination with other terms in the model. </w:t>
      </w:r>
      <w:r w:rsidR="00A61A05">
        <w:t xml:space="preserve">Counter to our predictions, paranoia had no main effect </w:t>
      </w:r>
      <w:r w:rsidR="002B19CA">
        <w:t>on generosity in the dictator role (</w:t>
      </w:r>
      <w:r w:rsidR="002C2842">
        <w:t xml:space="preserve">Table </w:t>
      </w:r>
      <w:r w:rsidR="009A5591">
        <w:t>S</w:t>
      </w:r>
      <w:r w:rsidR="002C2842">
        <w:t>6</w:t>
      </w:r>
      <w:r w:rsidR="00341277">
        <w:t>, Figure 3</w:t>
      </w:r>
      <w:r w:rsidR="002B19CA">
        <w:t xml:space="preserve">). </w:t>
      </w:r>
      <w:r w:rsidR="009A5591">
        <w:t>P</w:t>
      </w:r>
      <w:r w:rsidR="002F2E0F">
        <w:t xml:space="preserve">aranoia uniquely explained </w:t>
      </w:r>
      <w:r w:rsidR="002C2842">
        <w:t xml:space="preserve">0 % of the total variance in dictator donations, although variance common to paranoia and other variables jointly accounted for ~ 17 % of the variance in dictator donations that was explained by the model (Table </w:t>
      </w:r>
      <w:r w:rsidR="009A5591">
        <w:t>S</w:t>
      </w:r>
      <w:r w:rsidR="002C2842">
        <w:t xml:space="preserve">7). The predictors which uniquely explained most of the variance in dictator donations were </w:t>
      </w:r>
      <w:r w:rsidR="007E05EE">
        <w:t xml:space="preserve">age </w:t>
      </w:r>
      <w:r w:rsidR="002C2842">
        <w:t xml:space="preserve">and </w:t>
      </w:r>
      <w:r w:rsidR="00D5070D">
        <w:t xml:space="preserve">PRO </w:t>
      </w:r>
      <w:r w:rsidR="009A5591">
        <w:t xml:space="preserve">(Table S7). </w:t>
      </w:r>
      <w:r w:rsidR="002C2842">
        <w:t xml:space="preserve"> </w:t>
      </w:r>
    </w:p>
    <w:p w14:paraId="1647AD60" w14:textId="77777777" w:rsidR="002B19CA" w:rsidRDefault="002B19CA" w:rsidP="00164E47">
      <w:pPr>
        <w:spacing w:line="360" w:lineRule="auto"/>
        <w:jc w:val="both"/>
      </w:pPr>
    </w:p>
    <w:p w14:paraId="4657258E" w14:textId="793048F6" w:rsidR="00151085" w:rsidRDefault="00151085">
      <w:pPr>
        <w:rPr>
          <w:b/>
        </w:rPr>
      </w:pPr>
    </w:p>
    <w:p w14:paraId="13DB03AD" w14:textId="77777777" w:rsidR="00C16711" w:rsidRDefault="00C16711" w:rsidP="00C16711">
      <w:pPr>
        <w:rPr>
          <w:b/>
        </w:rPr>
      </w:pPr>
      <w:r>
        <w:rPr>
          <w:b/>
          <w:noProof/>
          <w:lang w:eastAsia="en-GB"/>
        </w:rPr>
        <w:drawing>
          <wp:inline distT="0" distB="0" distL="0" distR="0" wp14:anchorId="4F0DECB3" wp14:editId="0E507FDB">
            <wp:extent cx="5727700"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r w:rsidRPr="00C16711">
        <w:rPr>
          <w:b/>
        </w:rPr>
        <w:t xml:space="preserve"> </w:t>
      </w:r>
    </w:p>
    <w:p w14:paraId="50782A56" w14:textId="77777777" w:rsidR="00C16711" w:rsidRDefault="00C16711" w:rsidP="00C16711">
      <w:pPr>
        <w:rPr>
          <w:b/>
        </w:rPr>
      </w:pPr>
    </w:p>
    <w:p w14:paraId="184F2C38" w14:textId="0EFF7AB7" w:rsidR="00C16711" w:rsidRPr="00C16711" w:rsidRDefault="00C16711" w:rsidP="00C16711">
      <w:r w:rsidRPr="00181E7C">
        <w:rPr>
          <w:b/>
        </w:rPr>
        <w:t xml:space="preserve">Figure </w:t>
      </w:r>
      <w:r>
        <w:rPr>
          <w:b/>
        </w:rPr>
        <w:t>3</w:t>
      </w:r>
      <w:r w:rsidRPr="00181E7C">
        <w:rPr>
          <w:b/>
        </w:rPr>
        <w:t xml:space="preserve">. </w:t>
      </w:r>
      <w:r>
        <w:rPr>
          <w:b/>
        </w:rPr>
        <w:t xml:space="preserve">Dictator donation as a function of </w:t>
      </w:r>
      <w:r w:rsidRPr="00181E7C">
        <w:rPr>
          <w:b/>
        </w:rPr>
        <w:t xml:space="preserve">(A) </w:t>
      </w:r>
      <w:r>
        <w:rPr>
          <w:b/>
        </w:rPr>
        <w:t xml:space="preserve">paranoia and </w:t>
      </w:r>
      <w:r w:rsidRPr="00181E7C">
        <w:rPr>
          <w:b/>
        </w:rPr>
        <w:t xml:space="preserve">(B) </w:t>
      </w:r>
      <w:r>
        <w:rPr>
          <w:b/>
        </w:rPr>
        <w:t>enjoyment of prosocial interactions (PRO).</w:t>
      </w:r>
      <w:r>
        <w:t xml:space="preserve"> Raw data are overlaid onto boxplots, with a jitter function. The terms on the x-axes were converted to categorical variables (paranoia = 9 levels, PRO = 3 levels).</w:t>
      </w:r>
      <w:r>
        <w:br w:type="page"/>
      </w:r>
    </w:p>
    <w:p w14:paraId="56D304EE" w14:textId="370D67AD" w:rsidR="002B19CA" w:rsidRDefault="008B1AF2" w:rsidP="00164E47">
      <w:pPr>
        <w:spacing w:line="360" w:lineRule="auto"/>
        <w:jc w:val="both"/>
        <w:rPr>
          <w:b/>
        </w:rPr>
      </w:pPr>
      <w:r>
        <w:rPr>
          <w:b/>
        </w:rPr>
        <w:lastRenderedPageBreak/>
        <w:t xml:space="preserve">4. </w:t>
      </w:r>
      <w:r w:rsidR="002B19CA">
        <w:rPr>
          <w:b/>
        </w:rPr>
        <w:t>Discussion</w:t>
      </w:r>
    </w:p>
    <w:p w14:paraId="3565A2EE" w14:textId="77777777" w:rsidR="005A151E" w:rsidRDefault="00724C3E" w:rsidP="00091D4C">
      <w:pPr>
        <w:spacing w:line="360" w:lineRule="auto"/>
        <w:jc w:val="both"/>
      </w:pPr>
      <w:r>
        <w:t>P</w:t>
      </w:r>
      <w:r w:rsidR="00D0760E">
        <w:t xml:space="preserve">revious work showed that </w:t>
      </w:r>
      <w:r w:rsidR="001A6430">
        <w:t xml:space="preserve">proneness to paranoid thoughts </w:t>
      </w:r>
      <w:r w:rsidR="002B19CA">
        <w:t xml:space="preserve">is </w:t>
      </w:r>
      <w:r w:rsidR="001A6430">
        <w:t xml:space="preserve">positively </w:t>
      </w:r>
      <w:r w:rsidR="002B19CA">
        <w:t xml:space="preserve">associated with </w:t>
      </w:r>
      <w:r w:rsidR="001A6430">
        <w:t xml:space="preserve">punitive tendency </w:t>
      </w:r>
      <w:r w:rsidR="002B19CA">
        <w:t xml:space="preserve">and </w:t>
      </w:r>
      <w:r w:rsidR="001A6430">
        <w:t>negatively associated with generosity</w:t>
      </w:r>
      <w:r w:rsidR="00BD636C">
        <w:t xml:space="preserve"> in the Dictator Game</w:t>
      </w:r>
      <w:r w:rsidR="00D3740F">
        <w:t xml:space="preserve"> </w:t>
      </w:r>
      <w:r w:rsidR="00D3740F">
        <w:fldChar w:fldCharType="begin"/>
      </w:r>
      <w:r w:rsidR="004F69FD">
        <w:instrText xml:space="preserve"> ADDIN ZOTERO_ITEM CSL_CITATION {"citationID":"gA8zAWZ4","properties":{"formattedCitation":"(Raihani and Bell, 2017a)","plainCitation":"(Raihani and Bell, 2017a)","noteIndex":0},"citationItems":[{"id":"iyQYOOSa/giIG7oVm","uris":["http://zotero.org/users/5126227/items/HHYJ6GU5"],"uri":["http://zotero.org/users/5126227/items/HHYJ6GU5"],"itemData":{"id":"TPoI4dN1/Hau0ADMi","type":"article-journal","title":"Conflict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J"},{"family":"Bell","given":"V"}],"issued":{"date-parts":[["2017",10]]}}}],"schema":"https://github.com/citation-style-language/schema/raw/master/csl-citation.json"} </w:instrText>
      </w:r>
      <w:r w:rsidR="00D3740F">
        <w:fldChar w:fldCharType="separate"/>
      </w:r>
      <w:r w:rsidR="00D3740F">
        <w:rPr>
          <w:noProof/>
        </w:rPr>
        <w:t>(Raihani and Bell, 2017a)</w:t>
      </w:r>
      <w:r w:rsidR="00D3740F">
        <w:fldChar w:fldCharType="end"/>
      </w:r>
      <w:r w:rsidR="002B19CA">
        <w:t xml:space="preserve">. We partially replicate and extend these previous findings here. </w:t>
      </w:r>
      <w:r w:rsidR="00CA60D9">
        <w:t xml:space="preserve">We show for the first time that </w:t>
      </w:r>
      <w:r w:rsidR="001A6430">
        <w:t xml:space="preserve">paranoid thinking is </w:t>
      </w:r>
      <w:r w:rsidR="00CA60D9">
        <w:t xml:space="preserve">positively associated with </w:t>
      </w:r>
      <w:r w:rsidR="007A5114">
        <w:t xml:space="preserve">the </w:t>
      </w:r>
      <w:r w:rsidR="00CA60D9">
        <w:t>reward value of negative social behaviou</w:t>
      </w:r>
      <w:r w:rsidR="007A5114">
        <w:t>r</w:t>
      </w:r>
      <w:r w:rsidR="00CA60D9">
        <w:t xml:space="preserve"> and negatively associated with the reward value of positive prosocial interactions. </w:t>
      </w:r>
      <w:r w:rsidR="00FC379B">
        <w:t xml:space="preserve">These findings suggest that paranoia is associated with altered patterns of social reward and help to contextualise previous work in this field. </w:t>
      </w:r>
    </w:p>
    <w:p w14:paraId="6A0243E0" w14:textId="77777777" w:rsidR="005A151E" w:rsidRDefault="005A151E" w:rsidP="00091D4C">
      <w:pPr>
        <w:spacing w:line="360" w:lineRule="auto"/>
        <w:jc w:val="both"/>
      </w:pPr>
    </w:p>
    <w:p w14:paraId="43D7B808" w14:textId="37E16782" w:rsidR="00FC379B" w:rsidRPr="002D69FC" w:rsidRDefault="005A151E" w:rsidP="00091D4C">
      <w:pPr>
        <w:spacing w:line="360" w:lineRule="auto"/>
        <w:jc w:val="both"/>
        <w:rPr>
          <w:color w:val="000000" w:themeColor="text1"/>
        </w:rPr>
      </w:pPr>
      <w:r w:rsidRPr="002D69FC">
        <w:rPr>
          <w:color w:val="000000" w:themeColor="text1"/>
        </w:rPr>
        <w:t>Previous studies have interpreted the</w:t>
      </w:r>
      <w:r w:rsidR="00FC379B" w:rsidRPr="002D69FC">
        <w:rPr>
          <w:color w:val="000000" w:themeColor="text1"/>
        </w:rPr>
        <w:t xml:space="preserve"> reduced prosocial tendency in paranoia in terms of distrust </w:t>
      </w:r>
      <w:r w:rsidR="00812369" w:rsidRPr="002D69FC">
        <w:rPr>
          <w:color w:val="000000" w:themeColor="text1"/>
        </w:rPr>
        <w:fldChar w:fldCharType="begin"/>
      </w:r>
      <w:r w:rsidR="00812369" w:rsidRPr="002D69FC">
        <w:rPr>
          <w:color w:val="000000" w:themeColor="text1"/>
        </w:rPr>
        <w:instrText xml:space="preserve"> ADDIN ZOTERO_ITEM CSL_CITATION {"citationID":"tm0j4Zi7","properties":{"formattedCitation":"(Ellett et al., 2013; Fett et al., 2012)","plainCitation":"(Ellett et al., 2013; Fett et al., 2012)","noteIndex":0},"citationItems":[{"id":617,"uris":["http://zotero.org/users/5126227/items/3IGMTTES"],"uri":["http://zotero.org/users/5126227/items/3IGMTTES"],"itemData":{"id":617,"type":"article-journal","abstract":"A growing body of research shows that paranoia is common in the general population. We report three studies that examined the Prisoner's Dilemma Game (PDG) as a paradigm for evaluation of non-clinical paranoia . The PDG captures three key qualities that are at the","container-title":"Cognition &amp; Emotion","DOI":"10.1080/02699931.2012.689757","issue":"1","language":"English","page":"53–62","title":"A paradigm for the study of paranoia in the general population: The Prisoner's Dilemma Game","volume":"27","author":[{"family":"Ellett","given":"L"},{"family":"Allen-Crooks","given":"R"},{"family":"Stevens","given":"A"},{"family":"Wildschut","given":"T"}],"issued":{"date-parts":[["2013"]]}}},{"id":865,"uris":["http://zotero.org/users/5126227/items/QFJ9MJNE"],"uri":["http://zotero.org/users/5126227/items/QFJ9MJNE"],"itemData":{"id":865,"type":"article-journal","abstract":"... Brain: 139 (2). Editor. Dimitri M. Kullmann. Impact factor 9.196 5 Year impact factor 10.418. Published on behalf of The Guarantors of Brain. To trust or not to trust : the dynamics of social interaction in psychosis . Anne-Kathrin J. Fett ...","container-title":"Brain","DOI":"10.1093/brain/awr359","issue":"3","language":"English","page":"976–984","title":"To trust or not to trust: the dynamics of social interaction in psychosis","volume":"135","author":[{"family":"Fett","given":"AKJ"},{"family":"Shergill","given":"S S"},{"family":"Joyce","given":"D W"},{"family":"Riedl","given":"A"},{"family":"Strobel","given":"M"}],"issued":{"date-parts":[["2012"]]}}}],"schema":"https://github.com/citation-style-language/schema/raw/master/csl-citation.json"} </w:instrText>
      </w:r>
      <w:r w:rsidR="00812369" w:rsidRPr="002D69FC">
        <w:rPr>
          <w:color w:val="000000" w:themeColor="text1"/>
        </w:rPr>
        <w:fldChar w:fldCharType="separate"/>
      </w:r>
      <w:r w:rsidR="00812369" w:rsidRPr="002D69FC">
        <w:rPr>
          <w:noProof/>
          <w:color w:val="000000" w:themeColor="text1"/>
        </w:rPr>
        <w:t>(Ellett et al., 2013; Fett et al., 2012)</w:t>
      </w:r>
      <w:r w:rsidR="00812369" w:rsidRPr="002D69FC">
        <w:rPr>
          <w:color w:val="000000" w:themeColor="text1"/>
        </w:rPr>
        <w:fldChar w:fldCharType="end"/>
      </w:r>
      <w:r w:rsidRPr="002D69FC">
        <w:rPr>
          <w:color w:val="000000" w:themeColor="text1"/>
        </w:rPr>
        <w:t xml:space="preserve">. However, trusting in a trust game can also be construed as a cooperative or prosocial decision </w:t>
      </w:r>
      <w:r w:rsidRPr="002D69FC">
        <w:rPr>
          <w:color w:val="000000" w:themeColor="text1"/>
        </w:rPr>
        <w:fldChar w:fldCharType="begin"/>
      </w:r>
      <w:r w:rsidRPr="002D69FC">
        <w:rPr>
          <w:color w:val="000000" w:themeColor="text1"/>
        </w:rPr>
        <w:instrText xml:space="preserve"> ADDIN ZOTERO_ITEM CSL_CITATION {"citationID":"1SZYtbZG","properties":{"formattedCitation":"(Raihani and Bell, 2017a)","plainCitation":"(Raihani and Bell, 2017a)","noteIndex":0},"citationItems":[{"id":"iyQYOOSa/giIG7oVm","uris":["http://zotero.org/users/5126227/items/HHYJ6GU5"],"uri":["http://zotero.org/users/5126227/items/HHYJ6GU5"],"itemData":{"id":"iyQYOOSa/giIG7oVm","type":"article-journal","title":"Conflict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J"},{"family":"Bell","given":"V"}],"issued":{"date-parts":[["2017",10]]}}}],"schema":"https://github.com/citation-style-language/schema/raw/master/csl-citation.json"} </w:instrText>
      </w:r>
      <w:r w:rsidRPr="002D69FC">
        <w:rPr>
          <w:color w:val="000000" w:themeColor="text1"/>
        </w:rPr>
        <w:fldChar w:fldCharType="separate"/>
      </w:r>
      <w:r w:rsidRPr="002D69FC">
        <w:rPr>
          <w:noProof/>
          <w:color w:val="000000" w:themeColor="text1"/>
        </w:rPr>
        <w:t>(Raihani and Bell, 2017a)</w:t>
      </w:r>
      <w:r w:rsidRPr="002D69FC">
        <w:rPr>
          <w:color w:val="000000" w:themeColor="text1"/>
        </w:rPr>
        <w:fldChar w:fldCharType="end"/>
      </w:r>
      <w:r w:rsidR="00A63D39" w:rsidRPr="002D69FC">
        <w:rPr>
          <w:color w:val="000000" w:themeColor="text1"/>
        </w:rPr>
        <w:t xml:space="preserve">. Previous work exploring alterations to social reward processing in paranoia and psychosis has tended to focus on the reward value of anticipating and/or experiencing cooperation (or not) from a social partner </w:t>
      </w:r>
      <w:r w:rsidR="00A63D39" w:rsidRPr="002D69FC">
        <w:rPr>
          <w:color w:val="000000" w:themeColor="text1"/>
        </w:rPr>
        <w:fldChar w:fldCharType="begin"/>
      </w:r>
      <w:r w:rsidR="00A63D39" w:rsidRPr="002D69FC">
        <w:rPr>
          <w:color w:val="000000" w:themeColor="text1"/>
        </w:rPr>
        <w:instrText xml:space="preserve"> ADDIN ZOTERO_ITEM CSL_CITATION {"citationID":"oCBACr9P","properties":{"formattedCitation":"(Fett et al., 2019)","plainCitation":"(Fett et al., 2019)","noteIndex":0},"citationItems":[{"id":15855,"uris":["http://zotero.org/users/5126227/items/VA52N6TH"],"uri":["http://zotero.org/users/5126227/items/VA52N6TH"],"itemData":{"id":15855,"type":"article-journal","abstract":"Abstract.  In chronic psychosis, reduced trust is associated with a neural insensitivity to social reward and reduced theory of mind (ToM). Here we investigate","container-title":"Social Cognitive and Affective Neuroscience","DOI":"10.1093/scan/nsz058","ISSN":"1749-5016","issue":"8","journalAbbreviation":"Soc Cogn Affect Neurosci","language":"en","note":"publisher: Oxford Academic","page":"861-870","source":"academic.oup.com","title":"The neural mechanisms of social reward in early psychosis","volume":"14","author":[{"family":"Fett","given":"Anne-Kathrin J."},{"family":"Mouchlianitis","given":"Elias"},{"family":"Gromann","given":"Paula M."},{"family":"Vanes","given":"Lucy"},{"family":"Shergill","given":"Sukhi S."},{"family":"Krabbendam","given":"Lydia"}],"issued":{"date-parts":[["2019",8,31]]}}}],"schema":"https://github.com/citation-style-language/schema/raw/master/csl-citation.json"} </w:instrText>
      </w:r>
      <w:r w:rsidR="00A63D39" w:rsidRPr="002D69FC">
        <w:rPr>
          <w:color w:val="000000" w:themeColor="text1"/>
        </w:rPr>
        <w:fldChar w:fldCharType="separate"/>
      </w:r>
      <w:r w:rsidR="00A63D39" w:rsidRPr="002D69FC">
        <w:rPr>
          <w:noProof/>
          <w:color w:val="000000" w:themeColor="text1"/>
        </w:rPr>
        <w:t>(Fett et al., 2019)</w:t>
      </w:r>
      <w:r w:rsidR="00A63D39" w:rsidRPr="002D69FC">
        <w:rPr>
          <w:color w:val="000000" w:themeColor="text1"/>
        </w:rPr>
        <w:fldChar w:fldCharType="end"/>
      </w:r>
      <w:r w:rsidR="00A63D39" w:rsidRPr="002D69FC">
        <w:rPr>
          <w:color w:val="000000" w:themeColor="text1"/>
        </w:rPr>
        <w:t xml:space="preserve"> despite the fact that social-decisions have also been associated with reward system function independently of response from others</w:t>
      </w:r>
      <w:r w:rsidR="002D69FC" w:rsidRPr="002D69FC">
        <w:rPr>
          <w:color w:val="000000" w:themeColor="text1"/>
        </w:rPr>
        <w:t xml:space="preserve"> </w:t>
      </w:r>
      <w:r w:rsidR="002D69FC" w:rsidRPr="002D69FC">
        <w:rPr>
          <w:color w:val="000000" w:themeColor="text1"/>
        </w:rPr>
        <w:fldChar w:fldCharType="begin"/>
      </w:r>
      <w:r w:rsidR="002D69FC" w:rsidRPr="002D69FC">
        <w:rPr>
          <w:color w:val="000000" w:themeColor="text1"/>
        </w:rPr>
        <w:instrText xml:space="preserve"> ADDIN ZOTERO_ITEM CSL_CITATION {"citationID":"CMwFYbBL","properties":{"formattedCitation":"(Harbaugh et al., 2007; Moll et al., 2006)","plainCitation":"(Harbaugh et al., 2007; Moll et al., 2006)","noteIndex":0},"citationItems":[{"id":13553,"uris":["http://zotero.org/users/5126227/items/Z4G2S85W"],"uri":["http://zotero.org/users/5126227/items/Z4G2S85W"],"itemData":{"id":13553,"type":"article-journal","container-title":"Science","DOI":"10.1126/science.1140738","ISSN":"0036-8075, 1095-9203","issue":"5831","journalAbbreviation":"Science","language":"en","page":"1622-1625","source":"DOI.org (Crossref)","title":"Neural Responses to Taxation and Voluntary Giving Reveal Motives for Charitable Donations","volume":"316","author":[{"family":"Harbaugh","given":"W. T."},{"family":"Mayr","given":"U."},{"family":"Burghart","given":"D. R."}],"issued":{"date-parts":[["2007",6,15]]}}},{"id":15883,"uris":["http://zotero.org/users/5126227/items/85L5KQMW"],"uri":["http://zotero.org/users/5126227/items/85L5KQMW"],"itemData":{"id":15883,"type":"article-journal","abstract":"Humans often sacrifice material benefits to endorse or to oppose societal causes based on moral beliefs. Charitable donation behavior, which has been the target of recent experimental economics studies, is an outstanding contemporary manifestation of this ability. Yet the neural bases of this unique aspect of human altruism, which extends beyond interpersonal interactions, remain obscure. In this article, we use functional magnetic resonance imaging while participants anonymously donated to or opposed real charitable organizations related to major societal causes. We show that the mesolimbic reward system is engaged by donations in the same way as when monetary rewards are obtained. Furthermore, medial orbitofrontal–subgenual and lateral orbitofrontal areas, which also play key roles in more primitive mechanisms of social attachment and aversion, specifically mediate decisions to donate or to oppose societal causes. Remarkably, more anterior sectors of the prefrontal cortex are distinctively recruited when altruistic choices prevail over selfish material interests.","container-title":"Proceedings of the National Academy of Sciences","DOI":"10.1073/pnas.0604475103","ISSN":"0027-8424, 1091-6490","issue":"42","journalAbbreviation":"PNAS","language":"en","note":"publisher: National Academy of Sciences\nsection: Biological Sciences\nPMID: 17030808","page":"15623-15628","source":"www.pnas.org","title":"Human fronto–mesolimbic networks guide decisions about charitable donation","volume":"103","author":[{"family":"Moll","given":"Jorge"},{"family":"Krueger","given":"Frank"},{"family":"Zahn","given":"Roland"},{"family":"Pardini","given":"Matteo"},{"family":"Oliveira-Souza","given":"Ricardo","dropping-particle":"de"},{"family":"Grafman","given":"Jordan"}],"issued":{"date-parts":[["2006",10,17]]}}}],"schema":"https://github.com/citation-style-language/schema/raw/master/csl-citation.json"} </w:instrText>
      </w:r>
      <w:r w:rsidR="002D69FC" w:rsidRPr="002D69FC">
        <w:rPr>
          <w:color w:val="000000" w:themeColor="text1"/>
        </w:rPr>
        <w:fldChar w:fldCharType="separate"/>
      </w:r>
      <w:r w:rsidR="002D69FC" w:rsidRPr="002D69FC">
        <w:rPr>
          <w:noProof/>
          <w:color w:val="000000" w:themeColor="text1"/>
        </w:rPr>
        <w:t>(Harbaugh et al., 2007; Moll et al., 2006)</w:t>
      </w:r>
      <w:r w:rsidR="002D69FC" w:rsidRPr="002D69FC">
        <w:rPr>
          <w:color w:val="000000" w:themeColor="text1"/>
        </w:rPr>
        <w:fldChar w:fldCharType="end"/>
      </w:r>
      <w:r w:rsidR="00A63D39" w:rsidRPr="002D69FC">
        <w:rPr>
          <w:rFonts w:eastAsiaTheme="minorEastAsia"/>
          <w:color w:val="000000" w:themeColor="text1"/>
        </w:rPr>
        <w:t xml:space="preserve">. The work presented here suggests a role for alteration to intrinsic reward </w:t>
      </w:r>
      <w:r w:rsidR="000F100B" w:rsidRPr="002D69FC">
        <w:rPr>
          <w:rFonts w:eastAsiaTheme="minorEastAsia"/>
          <w:color w:val="000000" w:themeColor="text1"/>
        </w:rPr>
        <w:t xml:space="preserve">for making social decision </w:t>
      </w:r>
      <w:r w:rsidR="00A63D39" w:rsidRPr="002D69FC">
        <w:rPr>
          <w:color w:val="000000" w:themeColor="text1"/>
        </w:rPr>
        <w:t>in paranoia.</w:t>
      </w:r>
      <w:r w:rsidR="000F100B" w:rsidRPr="002D69FC">
        <w:rPr>
          <w:color w:val="000000" w:themeColor="text1"/>
        </w:rPr>
        <w:t xml:space="preserve"> </w:t>
      </w:r>
      <w:r w:rsidR="00304650" w:rsidRPr="002D69FC">
        <w:rPr>
          <w:color w:val="000000" w:themeColor="text1"/>
        </w:rPr>
        <w:t xml:space="preserve">Experiencing subjective reward from one’s own </w:t>
      </w:r>
      <w:r w:rsidR="00F54B32" w:rsidRPr="002D69FC">
        <w:rPr>
          <w:color w:val="000000" w:themeColor="text1"/>
        </w:rPr>
        <w:t>prosocial decisions</w:t>
      </w:r>
      <w:r w:rsidR="00304650" w:rsidRPr="002D69FC">
        <w:rPr>
          <w:color w:val="000000" w:themeColor="text1"/>
        </w:rPr>
        <w:t xml:space="preserve"> is known as the ‘warm glow of giving’ in the experimental economics literature</w:t>
      </w:r>
      <w:r w:rsidR="009A737E" w:rsidRPr="002D69FC">
        <w:rPr>
          <w:color w:val="000000" w:themeColor="text1"/>
        </w:rPr>
        <w:t xml:space="preserve"> </w:t>
      </w:r>
      <w:r w:rsidR="009A737E" w:rsidRPr="002D69FC">
        <w:rPr>
          <w:color w:val="000000" w:themeColor="text1"/>
        </w:rPr>
        <w:fldChar w:fldCharType="begin"/>
      </w:r>
      <w:r w:rsidR="009A737E" w:rsidRPr="002D69FC">
        <w:rPr>
          <w:color w:val="000000" w:themeColor="text1"/>
        </w:rPr>
        <w:instrText xml:space="preserve"> ADDIN ZOTERO_ITEM CSL_CITATION {"citationID":"jTIhTYPF","properties":{"formattedCitation":"(Andreoni, 1990)","plainCitation":"(Andreoni, 1990)","noteIndex":0},"citationItems":[{"id":15875,"uris":["http://zotero.org/users/5126227/items/UCLYNDEH"],"uri":["http://zotero.org/users/5126227/items/UCLYNDEH"],"itemData":{"id":15875,"type":"article-journal","container-title":"The Economic Journal","DOI":"10.2307/2234133","ISSN":"00130133","issue":"401","journalAbbreviation":"The Economic Journal","language":"en","page":"464","source":"DOI.org (Crossref)","title":"Impure Altruism and Donations to Public Goods: A Theory of Warm-Glow Giving","title-short":"Impure Altruism and Donations to Public Goods","volume":"100","author":[{"family":"Andreoni","given":"James"}],"issued":{"date-parts":[["1990",6]]}}}],"schema":"https://github.com/citation-style-language/schema/raw/master/csl-citation.json"} </w:instrText>
      </w:r>
      <w:r w:rsidR="009A737E" w:rsidRPr="002D69FC">
        <w:rPr>
          <w:color w:val="000000" w:themeColor="text1"/>
        </w:rPr>
        <w:fldChar w:fldCharType="separate"/>
      </w:r>
      <w:r w:rsidR="009A737E" w:rsidRPr="002D69FC">
        <w:rPr>
          <w:noProof/>
          <w:color w:val="000000" w:themeColor="text1"/>
        </w:rPr>
        <w:t>(Andreoni, 1990)</w:t>
      </w:r>
      <w:r w:rsidR="009A737E" w:rsidRPr="002D69FC">
        <w:rPr>
          <w:color w:val="000000" w:themeColor="text1"/>
        </w:rPr>
        <w:fldChar w:fldCharType="end"/>
      </w:r>
      <w:r w:rsidR="00304650" w:rsidRPr="002D69FC">
        <w:rPr>
          <w:color w:val="000000" w:themeColor="text1"/>
        </w:rPr>
        <w:t xml:space="preserve"> </w:t>
      </w:r>
      <w:r w:rsidR="009A737E" w:rsidRPr="002D69FC">
        <w:rPr>
          <w:color w:val="000000" w:themeColor="text1"/>
        </w:rPr>
        <w:t xml:space="preserve">and the </w:t>
      </w:r>
      <w:r w:rsidR="000F100B" w:rsidRPr="002D69FC">
        <w:rPr>
          <w:color w:val="000000" w:themeColor="text1"/>
        </w:rPr>
        <w:t xml:space="preserve">reward </w:t>
      </w:r>
      <w:r w:rsidR="009A737E" w:rsidRPr="002D69FC">
        <w:rPr>
          <w:color w:val="000000" w:themeColor="text1"/>
        </w:rPr>
        <w:t xml:space="preserve">from making </w:t>
      </w:r>
      <w:r w:rsidR="000F100B" w:rsidRPr="002D69FC">
        <w:rPr>
          <w:color w:val="000000" w:themeColor="text1"/>
        </w:rPr>
        <w:t>purely altruistic decisions is associated with overlapping, but not identical, reward system activity to strategic giving in fMRI studies</w:t>
      </w:r>
      <w:r w:rsidR="002D69FC" w:rsidRPr="002D69FC">
        <w:rPr>
          <w:color w:val="000000" w:themeColor="text1"/>
        </w:rPr>
        <w:t xml:space="preserve"> </w:t>
      </w:r>
      <w:r w:rsidR="002D69FC" w:rsidRPr="002D69FC">
        <w:rPr>
          <w:color w:val="000000" w:themeColor="text1"/>
        </w:rPr>
        <w:fldChar w:fldCharType="begin"/>
      </w:r>
      <w:r w:rsidR="002D69FC" w:rsidRPr="002D69FC">
        <w:rPr>
          <w:color w:val="000000" w:themeColor="text1"/>
        </w:rPr>
        <w:instrText xml:space="preserve"> ADDIN ZOTERO_ITEM CSL_CITATION {"citationID":"OCoWofsZ","properties":{"formattedCitation":"(Cutler and Campbell-Meiklejohn, 2019)","plainCitation":"(Cutler and Campbell-Meiklejohn, 2019)","noteIndex":0},"citationItems":[{"id":15475,"uris":["http://zotero.org/users/5126227/items/REMQPRT3"],"uri":["http://zotero.org/users/5126227/items/REMQPRT3"],"itemData":{"id":15475,"type":"article-journal","abstract":"The decision to share resources is fundamental for cohesive societies. Humans can be motivated to give for many reasons. Some generosity incurs a definite cost, with no extrinsic reward to the act, but instead provides intrinsic satisfaction (labelled here as ‘altruistic’ giving). Other giving behaviours are done with the prospect of improving one's own situation via reciprocity, reputation, or public good (labelled here as ‘strategic’ giving). These contexts differ in the source, certainty, and timing of rewards as well as the inferences made about others' mental states. We executed a combined statistical map and coordinate-based fMRI meta-analysis of decisions to give (36 studies, 1150 participants). Methods included a novel approach for accommodating variable signal dropout between studies in meta-analysis. Results reveal consistent, cross-paradigm neural correlates of each decision type, commonalities, and informative differences. Relative to being selfish, altruistic and strategic giving activate overlapping reward networks. However, strategic decisions showed greater activity in striatal regions than altruistic choices. Altruistic giving, more than strategic, activated subgenual anterior cingulate cortex (sgACC). Ventromedial prefrontal cortex (vmPFC) is consistently involved during generous decisions and processing across a posterior to anterior axis differentiates the altruistic/strategic context. Posterior vmPFC was preferentially recruited during altruistic decisions. Regions of the ‘social brain’ showed distinct patterns of activity between choice types, reflecting the different use of theory of mind in the two contexts. We provide the consistent neural correlates of decisions to give, and show that many will depend on the source of incentives.","container-title":"NeuroImage","DOI":"10.1016/j.neuroimage.2018.09.009","ISSN":"1053-8119","journalAbbreviation":"NeuroImage","language":"en","page":"227-241","source":"ScienceDirect","title":"A comparative fMRI meta-analysis of altruistic and strategic decisions to give","volume":"184","author":[{"family":"Cutler","given":"Jo"},{"family":"Campbell-Meiklejohn","given":"Daniel"}],"issued":{"date-parts":[["2019",1,1]]}}}],"schema":"https://github.com/citation-style-language/schema/raw/master/csl-citation.json"} </w:instrText>
      </w:r>
      <w:r w:rsidR="002D69FC" w:rsidRPr="002D69FC">
        <w:rPr>
          <w:color w:val="000000" w:themeColor="text1"/>
        </w:rPr>
        <w:fldChar w:fldCharType="separate"/>
      </w:r>
      <w:r w:rsidR="002D69FC" w:rsidRPr="002D69FC">
        <w:rPr>
          <w:noProof/>
          <w:color w:val="000000" w:themeColor="text1"/>
        </w:rPr>
        <w:t>(Cutler and Campbell-Meiklejohn, 2019)</w:t>
      </w:r>
      <w:r w:rsidR="002D69FC" w:rsidRPr="002D69FC">
        <w:rPr>
          <w:color w:val="000000" w:themeColor="text1"/>
        </w:rPr>
        <w:fldChar w:fldCharType="end"/>
      </w:r>
      <w:r w:rsidR="00F54B32" w:rsidRPr="002D69FC">
        <w:rPr>
          <w:color w:val="000000" w:themeColor="text1"/>
        </w:rPr>
        <w:t xml:space="preserve">. </w:t>
      </w:r>
      <w:r w:rsidR="00AD0554" w:rsidRPr="002D69FC">
        <w:rPr>
          <w:color w:val="000000" w:themeColor="text1"/>
        </w:rPr>
        <w:t>T</w:t>
      </w:r>
      <w:r w:rsidR="00F54B32" w:rsidRPr="002D69FC">
        <w:rPr>
          <w:color w:val="000000" w:themeColor="text1"/>
        </w:rPr>
        <w:t xml:space="preserve">hese common patterns from neuroimaging studies, together with the self-report data we present here, suggest that </w:t>
      </w:r>
      <w:r w:rsidR="00304650" w:rsidRPr="002D69FC">
        <w:rPr>
          <w:color w:val="000000" w:themeColor="text1"/>
        </w:rPr>
        <w:t xml:space="preserve">variation in </w:t>
      </w:r>
      <w:r w:rsidR="00F54B32" w:rsidRPr="002D69FC">
        <w:rPr>
          <w:color w:val="000000" w:themeColor="text1"/>
        </w:rPr>
        <w:t>the</w:t>
      </w:r>
      <w:r w:rsidR="00304650" w:rsidRPr="002D69FC">
        <w:rPr>
          <w:color w:val="000000" w:themeColor="text1"/>
        </w:rPr>
        <w:t xml:space="preserve"> </w:t>
      </w:r>
      <w:r w:rsidR="000F100B" w:rsidRPr="002D69FC">
        <w:rPr>
          <w:color w:val="000000" w:themeColor="text1"/>
        </w:rPr>
        <w:t xml:space="preserve">reward </w:t>
      </w:r>
      <w:r w:rsidR="00F54B32" w:rsidRPr="002D69FC">
        <w:rPr>
          <w:color w:val="000000" w:themeColor="text1"/>
        </w:rPr>
        <w:t xml:space="preserve">of prosocial decision-making </w:t>
      </w:r>
      <w:r w:rsidR="00304650" w:rsidRPr="002D69FC">
        <w:rPr>
          <w:color w:val="000000" w:themeColor="text1"/>
        </w:rPr>
        <w:t xml:space="preserve">might be altered in paranoia. Neuroimaging studies </w:t>
      </w:r>
      <w:r w:rsidR="00AD0554" w:rsidRPr="002D69FC">
        <w:rPr>
          <w:color w:val="000000" w:themeColor="text1"/>
        </w:rPr>
        <w:t xml:space="preserve">in combination with strategic and non-strategic economic games </w:t>
      </w:r>
      <w:r w:rsidR="00304650" w:rsidRPr="002D69FC">
        <w:rPr>
          <w:color w:val="000000" w:themeColor="text1"/>
        </w:rPr>
        <w:t xml:space="preserve">would be especially useful to </w:t>
      </w:r>
      <w:r w:rsidR="00AD0554" w:rsidRPr="002D69FC">
        <w:rPr>
          <w:color w:val="000000" w:themeColor="text1"/>
        </w:rPr>
        <w:t>confirm</w:t>
      </w:r>
      <w:r w:rsidR="00304650" w:rsidRPr="002D69FC">
        <w:rPr>
          <w:color w:val="000000" w:themeColor="text1"/>
        </w:rPr>
        <w:t xml:space="preserve"> this </w:t>
      </w:r>
      <w:r w:rsidR="00AD0554" w:rsidRPr="002D69FC">
        <w:rPr>
          <w:color w:val="000000" w:themeColor="text1"/>
        </w:rPr>
        <w:t>prediction</w:t>
      </w:r>
      <w:r w:rsidR="00304650" w:rsidRPr="002D69FC">
        <w:rPr>
          <w:color w:val="000000" w:themeColor="text1"/>
        </w:rPr>
        <w:t xml:space="preserve">. </w:t>
      </w:r>
    </w:p>
    <w:p w14:paraId="4B1A4AC9" w14:textId="77777777" w:rsidR="00FC379B" w:rsidRDefault="00FC379B" w:rsidP="00091D4C">
      <w:pPr>
        <w:spacing w:line="360" w:lineRule="auto"/>
        <w:jc w:val="both"/>
      </w:pPr>
    </w:p>
    <w:p w14:paraId="3599D1FF" w14:textId="3A3CD8E9" w:rsidR="00B331CF" w:rsidRPr="002D69FC" w:rsidRDefault="00AD0554" w:rsidP="00091D4C">
      <w:pPr>
        <w:spacing w:line="360" w:lineRule="auto"/>
        <w:jc w:val="both"/>
        <w:rPr>
          <w:color w:val="000000" w:themeColor="text1"/>
        </w:rPr>
      </w:pPr>
      <w:r w:rsidRPr="002D69FC">
        <w:rPr>
          <w:color w:val="000000" w:themeColor="text1"/>
        </w:rPr>
        <w:t>Despite being associated, it</w:t>
      </w:r>
      <w:r w:rsidR="00FC379B" w:rsidRPr="002D69FC">
        <w:rPr>
          <w:color w:val="000000" w:themeColor="text1"/>
        </w:rPr>
        <w:t xml:space="preserve"> is important to stress that</w:t>
      </w:r>
      <w:r w:rsidR="00091D4C" w:rsidRPr="002D69FC">
        <w:rPr>
          <w:color w:val="000000" w:themeColor="text1"/>
        </w:rPr>
        <w:t xml:space="preserve"> the causal relationship</w:t>
      </w:r>
      <w:r w:rsidR="00B331CF" w:rsidRPr="002D69FC">
        <w:rPr>
          <w:color w:val="000000" w:themeColor="text1"/>
        </w:rPr>
        <w:t>s</w:t>
      </w:r>
      <w:r w:rsidR="00091D4C" w:rsidRPr="002D69FC">
        <w:rPr>
          <w:color w:val="000000" w:themeColor="text1"/>
        </w:rPr>
        <w:t xml:space="preserve"> between paranoia and social reward value are not clear. It is possible that paranoia and altered social reward value share a common cause in some cases – and it is also possible that they mutually reinforce one another</w:t>
      </w:r>
      <w:r w:rsidR="005B716D" w:rsidRPr="002D69FC">
        <w:rPr>
          <w:color w:val="000000" w:themeColor="text1"/>
        </w:rPr>
        <w:t xml:space="preserve"> (in other words, any causal relationship may not be unidirectional)</w:t>
      </w:r>
      <w:r w:rsidR="00091D4C" w:rsidRPr="002D69FC">
        <w:rPr>
          <w:color w:val="000000" w:themeColor="text1"/>
        </w:rPr>
        <w:t xml:space="preserve">. In this study, we cannot tease apart these possibilities. One common cause of paranoia and </w:t>
      </w:r>
      <w:r w:rsidR="00091D4C" w:rsidRPr="002D69FC">
        <w:rPr>
          <w:color w:val="000000" w:themeColor="text1"/>
        </w:rPr>
        <w:lastRenderedPageBreak/>
        <w:t xml:space="preserve">reduced NSP (or increased PRO) might be a history of </w:t>
      </w:r>
      <w:r w:rsidR="005B716D" w:rsidRPr="002D69FC">
        <w:rPr>
          <w:color w:val="000000" w:themeColor="text1"/>
        </w:rPr>
        <w:t>adversity</w:t>
      </w:r>
      <w:r w:rsidRPr="002D69FC">
        <w:rPr>
          <w:color w:val="000000" w:themeColor="text1"/>
        </w:rPr>
        <w:t xml:space="preserve"> </w:t>
      </w:r>
      <w:r w:rsidRPr="002D69FC">
        <w:rPr>
          <w:color w:val="000000" w:themeColor="text1"/>
        </w:rPr>
        <w:fldChar w:fldCharType="begin"/>
      </w:r>
      <w:r w:rsidRPr="002D69FC">
        <w:rPr>
          <w:color w:val="000000" w:themeColor="text1"/>
        </w:rPr>
        <w:instrText xml:space="preserve"> ADDIN ZOTERO_ITEM CSL_CITATION {"citationID":"r3QzS7Ft","properties":{"formattedCitation":"(Howes and Murray, 2014)","plainCitation":"(Howes and Murray, 2014)","noteIndex":0},"citationItems":[{"id":15823,"uris":["http://zotero.org/users/5126227/items/NUPSSTLM"],"uri":["http://zotero.org/users/5126227/items/NUPSSTLM"],"itemData":{"id":15823,"type":"article-journal","abstract":"Schizophrenia remains a major burden on patients and society. The dopamine hypothesis attempts to explain the pathogenic mechanisms of the disorder, and the neurodevelopmental hypothesis the origins. In the past 10 years an alternative, the cognitive model, has gained popularity. However, the first two theories have not been satisfactorily integrated, and the most influential iteration of the cognitive model makes no mention of dopamine, neurodevelopment, or indeed the brain. In this Review we show that developmental alterations secondary to variant genes, early hazards to the brain, and childhood adversity sensitise the dopamine system, and result in excessive presynaptic dopamine synthesis and release. Social adversity biases the cognitive schema that the individual uses to interpret experiences towards paranoid interpretations. Subsequent stress results in dysregulated dopamine release, causing the misattribution of salience to stimuli, which are then misinterpreted by the biased cognitive processes. The resulting paranoia and hallucinations in turn cause further stress, and eventually repeated dopamine dysregulation hardwires the psychotic beliefs. Finally, we consider the implications of this model for understanding and treatment of schizophrenia.","container-title":"The Lancet","DOI":"10.1016/S0140-6736(13)62036-X","ISSN":"0140-6736","issue":"9929","journalAbbreviation":"The Lancet","language":"en","page":"1677-1687","source":"ScienceDirect","title":"Schizophrenia: an integrated sociodevelopmental-cognitive model","title-short":"Schizophrenia","volume":"383","author":[{"family":"Howes","given":"Oliver D"},{"family":"Murray","given":"Robin M"}],"issued":{"date-parts":[["2014",5,10]]}}}],"schema":"https://github.com/citation-style-language/schema/raw/master/csl-citation.json"} </w:instrText>
      </w:r>
      <w:r w:rsidRPr="002D69FC">
        <w:rPr>
          <w:color w:val="000000" w:themeColor="text1"/>
        </w:rPr>
        <w:fldChar w:fldCharType="separate"/>
      </w:r>
      <w:r w:rsidRPr="002D69FC">
        <w:rPr>
          <w:noProof/>
          <w:color w:val="000000" w:themeColor="text1"/>
        </w:rPr>
        <w:t>(Howes and Murray, 2014)</w:t>
      </w:r>
      <w:r w:rsidRPr="002D69FC">
        <w:rPr>
          <w:color w:val="000000" w:themeColor="text1"/>
        </w:rPr>
        <w:fldChar w:fldCharType="end"/>
      </w:r>
      <w:r w:rsidR="005B716D" w:rsidRPr="002D69FC">
        <w:rPr>
          <w:color w:val="000000" w:themeColor="text1"/>
        </w:rPr>
        <w:t xml:space="preserve">. </w:t>
      </w:r>
      <w:r w:rsidR="005A22CE" w:rsidRPr="002D69FC">
        <w:rPr>
          <w:rFonts w:eastAsiaTheme="minorEastAsia"/>
          <w:color w:val="000000" w:themeColor="text1"/>
        </w:rPr>
        <w:t xml:space="preserve">Exposure to adversity in childhood (including childhood maltreatment, poverty and low SES) is associated with increased tendency to develop paranoia in adulthood </w:t>
      </w:r>
      <w:r w:rsidR="005A22CE" w:rsidRPr="002D69FC">
        <w:rPr>
          <w:rFonts w:eastAsiaTheme="minorEastAsia"/>
          <w:color w:val="000000" w:themeColor="text1"/>
        </w:rPr>
        <w:fldChar w:fldCharType="begin"/>
      </w:r>
      <w:r w:rsidR="004F69FD" w:rsidRPr="002D69FC">
        <w:rPr>
          <w:rFonts w:eastAsiaTheme="minorEastAsia"/>
          <w:color w:val="000000" w:themeColor="text1"/>
        </w:rPr>
        <w:instrText xml:space="preserve"> ADDIN ZOTERO_ITEM CSL_CITATION {"citationID":"rKKkIycd","properties":{"formattedCitation":"(Anderson and Freeman, 2013; Bosqui et al., 2014; Catone et al., 2015; Wickham et al., 2014)","plainCitation":"(Anderson and Freeman, 2013; Bosqui et al., 2014; Catone et al., 2015; Wickham et al., 2014)","noteIndex":0},"citationItems":[{"id":"iyQYOOSa/PosSOCRg","uris":["http://zotero.org/users/local/LNWAA8co/items/V39UE4QB"],"uri":["http://zotero.org/users/local/LNWAA8co/items/V39UE4QB"],"itemData":{"id":879,"type":"article-journal","title":"Socioeconomic Status and Paranoia","container-title":"The Journal of Nervous and Mental Disease","page":"698-702","volume":"201","issue":"8","DOI":"10.1097/nmd.0b013e31829c5047","journalAbbreviation":"The Journal of Nervous and Mental Disease","author":[{"family":"Anderson","given":"Fraser"},{"family":"Freeman","given":"Daniel"}],"issued":{"date-parts":[["2013",1,1]]}}},{"id":"iyQYOOSa/5plYiAMA","uris":["http://zotero.org/users/local/LNWAA8co/items/XPB7GG9Y"],"uri":["http://zotero.org/users/local/LNWAA8co/items/XPB7GG9Y"],"itemData":{"id":3308,"type":"article-journal","title":"A systematic review and meta-analysis of the ethnic density effect in psychotic disorders","container-title":"Social Psychiatry and Psychiatric Epidemiology","page":"519-529","volume":"49","issue":"4","abstract":"A number of studies have found an ethnic density effect in psychotic disorders, where the incidence for ethnic minorities increases as the neighbourhood proportional ethnic composition decreases [Morg","DOI":"10.1007/s00127-013-0773-0","journalAbbreviation":"Soc Psychiatry Psychiatr Epidemiol","author":[{"family":"Bosqui","given":"Tania Josiane"},{"family":"Hoy","given":"Katrina"},{"family":"Shannon","given":"Ciarán"}],"issued":{"date-parts":[["2014",1,1]]}}},{"id":846,"uris":["http://zotero.org/users/5126227/items/FR3CNEU5"],"uri":["http://zotero.org/users/5126227/items/FR3CNEU5"],"itemData":{"id":846,"type":"article-journal","abstract":"Background Being bullied is an aversive experience with short-term and long-term consequences, and is incorporated in biopsychosocial models of psychosis. We used the 2000 and the 2007 British Adult Psychiatric Morbidity Surveys to test the hypothesis that bullying is associated with individual psychotic phenomena and with psychosis, and predicts the later emergence of persecutory ideation and hallucinations. Methods We analysed two ...","container-title":"The Lancet Psychiatry","DOI":"10.1016/s2215-0366(15)00055-3","issue":"7","language":"English","page":"618–624","title":"Bullying victimisation and risk of psychotic phenomena: analyses of British national survey data","volume":"2","author":[{"family":"Catone","given":"G"},{"family":"Marwaha","given":"S"},{"family":"Kuipers","given":"E"},{"family":"Lennox","given":"B"}],"issued":{"date-parts":[["2015"]]}}},{"id":"iyQYOOSa/Q06SpJvI","uris":["http://zotero.org/users/local/LNWAA8co/items/8WGK9HKB"],"uri":["http://zotero.org/users/local/LNWAA8co/items/8WGK9HKB"],"itemData":{"id":3039,"type":"article-journal","title":"The Impact of Social Deprivation on Paranoia, Hallucinations, Mania and Depression: The Role of Discrimination Social Support, Stress and Trust","container-title":"PLoS ONE","page":"e105140","volume":"9","issue":"8","abstract":"The negative implications of living in a socially unequal society are now well documented. However, there is poor understanding of the pathways from specific environmental risk to symptoms. Here we examine the associations between social deprivation, depression, and psychotic symptoms using the 2007 Adult Psychiatric Morbidity Survey, a cross-sectional dataset including 7,353 individuals. In addition we looked at the mediating role of stress, discrimination, trust and lack of social support. We found that the participants' neighbourhood index of multiple deprivation (IMD) significantly predicted psychosis and depression. On inspection of specific psychotic symptoms, IMD predicted paranoia, but not hallucinations or hypomania. Stress and trust partially mediated the relationship between IMD and paranoid ideation. Stress, trust and a lack of social support fully mediated the relationship between IMD and depression. Future research should focus on the role deprivation and social inequalities plays in specific manifestations of psychopathology and investigate mechanisms to explain those associations that occur. Targeting the mediating mechanisms through appropriate psychological intervention may go some way to dampen the negative consequences of living in an unjust society; ameliorating economic injustice may improve population mental health.","DOI":"10.1371/journal.pone.0105140","journalAbbreviation":"Plos ONE","author":[{"family":"Wickham","given":"Sophie"},{"family":"Taylor","given":"Peter"},{"family":"Shevlin","given":"Mark"},{"family":"Bentall","given":"Richard P"}],"editor":[{"family":"Scott","given":"James G"}],"issued":{"date-parts":[["2014",1,1]]}}}],"schema":"https://github.com/citation-style-language/schema/raw/master/csl-citation.json"} </w:instrText>
      </w:r>
      <w:r w:rsidR="005A22CE" w:rsidRPr="002D69FC">
        <w:rPr>
          <w:rFonts w:eastAsiaTheme="minorEastAsia"/>
          <w:color w:val="000000" w:themeColor="text1"/>
        </w:rPr>
        <w:fldChar w:fldCharType="separate"/>
      </w:r>
      <w:r w:rsidR="005A22CE" w:rsidRPr="002D69FC">
        <w:rPr>
          <w:rFonts w:eastAsiaTheme="minorEastAsia"/>
          <w:noProof/>
          <w:color w:val="000000" w:themeColor="text1"/>
        </w:rPr>
        <w:t>(Anderson and Freeman, 2013; Bosqui et al., 2014; Catone et al., 2015; Wickham et al., 2014)</w:t>
      </w:r>
      <w:r w:rsidR="005A22CE" w:rsidRPr="002D69FC">
        <w:rPr>
          <w:rFonts w:eastAsiaTheme="minorEastAsia"/>
          <w:color w:val="000000" w:themeColor="text1"/>
        </w:rPr>
        <w:fldChar w:fldCharType="end"/>
      </w:r>
      <w:r w:rsidR="00091D4C" w:rsidRPr="002D69FC">
        <w:rPr>
          <w:color w:val="000000" w:themeColor="text1"/>
        </w:rPr>
        <w:t xml:space="preserve">. </w:t>
      </w:r>
      <w:r w:rsidR="005B716D" w:rsidRPr="002D69FC">
        <w:rPr>
          <w:color w:val="000000" w:themeColor="text1"/>
        </w:rPr>
        <w:t xml:space="preserve">Similarly, </w:t>
      </w:r>
      <w:r w:rsidR="00B331CF" w:rsidRPr="002D69FC">
        <w:rPr>
          <w:color w:val="000000" w:themeColor="text1"/>
        </w:rPr>
        <w:t xml:space="preserve">higher levels of </w:t>
      </w:r>
      <w:r w:rsidR="005B716D" w:rsidRPr="002D69FC">
        <w:rPr>
          <w:color w:val="000000" w:themeColor="text1"/>
        </w:rPr>
        <w:t>childhood adversity</w:t>
      </w:r>
      <w:r w:rsidR="005A22CE" w:rsidRPr="002D69FC">
        <w:rPr>
          <w:color w:val="000000" w:themeColor="text1"/>
        </w:rPr>
        <w:t xml:space="preserve"> are</w:t>
      </w:r>
      <w:r w:rsidR="00B331CF" w:rsidRPr="002D69FC">
        <w:rPr>
          <w:color w:val="000000" w:themeColor="text1"/>
        </w:rPr>
        <w:t xml:space="preserve"> also implicated in the development of antisocial personality traits, such as lower agreeableness and an increased tendency towards angry feelings </w:t>
      </w:r>
      <w:r w:rsidR="00B331CF" w:rsidRPr="002D69FC">
        <w:rPr>
          <w:color w:val="000000" w:themeColor="text1"/>
        </w:rPr>
        <w:fldChar w:fldCharType="begin"/>
      </w:r>
      <w:r w:rsidR="008C33A0" w:rsidRPr="002D69FC">
        <w:rPr>
          <w:color w:val="000000" w:themeColor="text1"/>
        </w:rPr>
        <w:instrText xml:space="preserve"> ADDIN ZOTERO_ITEM CSL_CITATION {"citationID":"qDXCt6qW","properties":{"formattedCitation":"(Carver et al., 2014; Labella and Masten, 2018)","plainCitation":"(Carver et al., 2014; Labella and Masten, 2018)","noteIndex":0},"citationItems":[{"id":12639,"uris":["http://zotero.org/users/5126227/items/GSTDNF3D"],"uri":["http://zotero.org/users/5126227/items/GSTDNF3D"],"itemData":{"id":12639,"type":"article-journal","abstract":"Objective: Childhood adversity has been linked to internalizing and externalizing disorders and personality disorders in adulthood. This study extends that research by examining several personality measures as correlates of childhood adversity. Method: In a college sample self-reports were collected of childhood adversity, several scales relating to personality, and current depression symptoms as a control variable. The personality-related scales were reduced to four latent variables, which we termed Anger/Aggression, Extrinsic focus, Agreeableness, and Engagement. Results: Controlling for concurrent depressive symptoms and gender, higher levels of reported childhood adversity related to lower Agreeableness and to higher Anger/Aggression and Extrinsic focus. Conclusions: Findings suggest that early adversity is linked to personality variables relevant to the building of social connection.","container-title":"Frontiers in Psychology","DOI":"10.3389/fpsyg.2014.01357","ISSN":"1664-1078","journalAbbreviation":"Front. Psychol.","language":"English","source":"Frontiers","title":"Adulthood personality correlates of childhood adversity","URL":"https://www.frontiersin.org/articles/10.3389/fpsyg.2014.01357/full","volume":"5","author":[{"family":"Carver","given":"Charles S."},{"family":"Johnson","given":"Sheri L."},{"family":"McCullough","given":"Michael E."},{"family":"Forster","given":"Daniel E."},{"family":"Joormann","given":"Jutta"}],"accessed":{"date-parts":[["2019",10,7]]},"issued":{"date-parts":[["2014"]]}}},{"id":12638,"uris":["http://zotero.org/users/5126227/items/C7VZKFEQ"],"uri":["http://zotero.org/users/5126227/items/C7VZKFEQ"],"itemData":{"id":12638,"type":"article-journal","abstract":"Recent research confirms that many of the most salient risk and protective factors for the development of aggression and violence reside in the family system. Family-based risks begin before birth, encompassing genetic and epigenetic processes. Contextual stressors (e.g., poverty, conflict) may impact development directly or indirectly through disrupted parenting behavior, including high negativity, low warmth, harshness, and exposure to violence. The family can also serve as a powerful adaptive system counteracting the risk of aggression and violence. Parents can promote healthy behavioral development through warmth, structure, and prosocial values, as well as by fostering adaptive resources in the child and community. Successful interventions often reduce aggression and violence by supporting parents and families. Recent insights and future directions for research and practice are discussed.","collection-title":"Aggression and violence","container-title":"Current Opinion in Psychology","DOI":"10.1016/j.copsyc.2017.03.028","ISSN":"2352-250X","journalAbbreviation":"Current Opinion in Psychology","page":"11-16","source":"ScienceDirect","title":"Family influences on the development of aggression and violence","volume":"19","author":[{"family":"Labella","given":"Madelyn H"},{"family":"Masten","given":"Ann S"}],"issued":{"date-parts":[["2018",2,1]]}}}],"schema":"https://github.com/citation-style-language/schema/raw/master/csl-citation.json"} </w:instrText>
      </w:r>
      <w:r w:rsidR="00B331CF" w:rsidRPr="002D69FC">
        <w:rPr>
          <w:color w:val="000000" w:themeColor="text1"/>
        </w:rPr>
        <w:fldChar w:fldCharType="separate"/>
      </w:r>
      <w:r w:rsidR="00B331CF" w:rsidRPr="002D69FC">
        <w:rPr>
          <w:noProof/>
          <w:color w:val="000000" w:themeColor="text1"/>
        </w:rPr>
        <w:t>(Carver et al., 2014; Labella and Masten, 2018)</w:t>
      </w:r>
      <w:r w:rsidR="00B331CF" w:rsidRPr="002D69FC">
        <w:rPr>
          <w:color w:val="000000" w:themeColor="text1"/>
        </w:rPr>
        <w:fldChar w:fldCharType="end"/>
      </w:r>
      <w:r w:rsidR="005A22CE" w:rsidRPr="002D69FC">
        <w:rPr>
          <w:color w:val="000000" w:themeColor="text1"/>
        </w:rPr>
        <w:t xml:space="preserve"> and appetitive aggression </w:t>
      </w:r>
      <w:r w:rsidR="005A22CE" w:rsidRPr="002D69FC">
        <w:rPr>
          <w:color w:val="000000" w:themeColor="text1"/>
        </w:rPr>
        <w:fldChar w:fldCharType="begin"/>
      </w:r>
      <w:r w:rsidR="008C33A0" w:rsidRPr="002D69FC">
        <w:rPr>
          <w:color w:val="000000" w:themeColor="text1"/>
        </w:rPr>
        <w:instrText xml:space="preserve"> ADDIN ZOTERO_ITEM CSL_CITATION {"citationID":"xPsPbbVf","properties":{"formattedCitation":"(Dudeck et al., 2016)","plainCitation":"(Dudeck et al., 2016)","noteIndex":0},"citationItems":[{"id":12513,"uris":["http://zotero.org/users/5126227/items/EU5C7ZN5"],"uri":["http://zotero.org/users/5126227/items/EU5C7ZN5"],"itemData":{"id":12513,"type":"article-journal","abstract":"Although previous studies in inmates, forensic and psychiatric samples suggest the relation between childhood trauma and suicide behavior as well as between childhood trauma and violent delinquency, the understanding of possible underlying mechanisms is still fragmentary. In a naturalistic study design, we tested if suicidal attempts and violent crimes are differently associated with adverse childhood experiences and levels of appetitive aggression in male forensic psychiatry inpatients. Adverse childhood experiences and appetitive aggression styles were collected by means of self-report measures, suicide attempts were taken from the medical history and violent crimes were appraised by official court records. The data were analyzed by the means of generalized linear models. Results revealed that appetitive aggression and adverse childhood experiences were significant predictors of suicide attempts, whereas violent crimes were associated solely with appetitive aggression. Suicide attempts and violent delinquency in forensic patients seem to be both positively associated with high levels of appetitive aggression, whereas their etiological pathways might differ with regard to adverse childhood experiences. Considering these interrelations to a greater extent might improve both diagnostics and treatment of forensic patients.","container-title":"Psychiatry Research","DOI":"10.1016/j.psychres.2016.04.073","ISSN":"0165-1781","journalAbbreviation":"Psychiatry Research","page":"352-357","source":"ScienceDirect","title":"The association of adverse childhood experiences and appetitive aggression with suicide attempts and violent crimes in male forensic psychiatry inpatients","volume":"240","author":[{"family":"Dudeck","given":"Manuela"},{"family":"Sosic-Vasic","given":"Zrinka"},{"family":"Otte","given":"Stefanie"},{"family":"Rasche","given":"Katharina"},{"family":"Leichauer","given":"Katharina"},{"family":"Tippelt","given":"Susanne"},{"family":"Shenar","given":"Riad"},{"family":"Klingner","given":"Solveig"},{"family":"Vasic","given":"Nenad"},{"family":"Streb","given":"Judith"}],"issued":{"date-parts":[["2016",6,30]]}}}],"schema":"https://github.com/citation-style-language/schema/raw/master/csl-citation.json"} </w:instrText>
      </w:r>
      <w:r w:rsidR="005A22CE" w:rsidRPr="002D69FC">
        <w:rPr>
          <w:color w:val="000000" w:themeColor="text1"/>
        </w:rPr>
        <w:fldChar w:fldCharType="separate"/>
      </w:r>
      <w:r w:rsidR="005A22CE" w:rsidRPr="002D69FC">
        <w:rPr>
          <w:noProof/>
          <w:color w:val="000000" w:themeColor="text1"/>
        </w:rPr>
        <w:t>(Dudeck et al., 2016)</w:t>
      </w:r>
      <w:r w:rsidR="005A22CE" w:rsidRPr="002D69FC">
        <w:rPr>
          <w:color w:val="000000" w:themeColor="text1"/>
        </w:rPr>
        <w:fldChar w:fldCharType="end"/>
      </w:r>
      <w:r w:rsidR="00B331CF" w:rsidRPr="002D69FC">
        <w:rPr>
          <w:color w:val="000000" w:themeColor="text1"/>
        </w:rPr>
        <w:t>. This suggests one pathway by which paranoia and social reward value might</w:t>
      </w:r>
      <w:r w:rsidR="005A22CE" w:rsidRPr="002D69FC">
        <w:rPr>
          <w:color w:val="000000" w:themeColor="text1"/>
        </w:rPr>
        <w:t xml:space="preserve"> share the same common cause and thus be associated, without paranoia necessarily causing altered social reward value. </w:t>
      </w:r>
    </w:p>
    <w:p w14:paraId="788CDA54" w14:textId="77777777" w:rsidR="00091D4C" w:rsidRDefault="00091D4C" w:rsidP="00164E47">
      <w:pPr>
        <w:spacing w:line="360" w:lineRule="auto"/>
        <w:jc w:val="both"/>
      </w:pPr>
    </w:p>
    <w:p w14:paraId="21F10980" w14:textId="70815F2A" w:rsidR="00687BDE" w:rsidRPr="005A22CE" w:rsidRDefault="00CA60D9" w:rsidP="00164E47">
      <w:pPr>
        <w:spacing w:line="360" w:lineRule="auto"/>
        <w:jc w:val="both"/>
      </w:pPr>
      <w:r>
        <w:t xml:space="preserve">We replicate our previous findings that paranoia predicts increased tendency to attribute harmful intent, but not self-interest, to a partner </w:t>
      </w:r>
      <w:r w:rsidR="00D3740F">
        <w:fldChar w:fldCharType="begin"/>
      </w:r>
      <w:r w:rsidR="004F69FD">
        <w:instrText xml:space="preserve"> ADDIN ZOTERO_ITEM CSL_CITATION {"citationID":"aACcXDUM","properties":{"formattedCitation":"(Raihani and Bell, 2017b; Saalfeld et al., 2018)","plainCitation":"(Raihani and Bell, 2017b; Saalfeld et al., 2018)","noteIndex":0},"citationItems":[{"id":"iyQYOOSa/sfwBVY32","uris":["http://zotero.org/users/5126227/items/HC68TAUG"],"uri":["http://zotero.org/users/5126227/items/HC68TAUG"],"itemData":{"id":"TPoI4dN1/wZlp2teT","type":"article-journal","title":"Paranoia and the social representation of others: a large-scale game theory approach","container-title":"Scientific Reports","page":"4544","volume":"7","issue":"1","abstract":"Current definitions of paranoia include two key components: unfounded ideas of harm and the idea that the harm is intended by others. However, attributions of harmful intent have been poorly studied and mainly using artificial scenarios rather than participation in genuine social interactions where genuine resources are at stake. Using a large non-clinical population (N = 3229) recruited online, we asked people to complete a measure of paranoid ideation before playing a modified Dictator Game, where the ‘dictator’ can allocate money to the partner (the ‘receiver’). Participants were allocated to the role of receiver or of an uninvolved observer; and evaluated to what extent they believed dictator decisions were motivated by (i) self-interest or (ii) harmful intent. All participants attributed more harmful intent to unfair as opposed to fair dictators. Paranoia had a positive effect on harmful intent attribution, for both fair and unfair dictators. Paranoia did not interact with attributions of self-interest. Importantly, highly paranoid participants attributed equally strong harmful intent to the dictator in the observer role as in the receiver role. This challenges the assumption that paranoia is mainly due to an exaggerated sense of personalised threat and suggests instead that paranoia involves a negative social representations of others.","DOI":"10.1038/s41598-017-04805-3","journalAbbreviation":"Scientific Reports","author":[{"family":"Raihani","given":"Nichola J"},{"family":"Bell","given":"Vaughan"}],"issued":{"date-parts":[["2017",7,3]]}}},{"id":9831,"uris":["http://zotero.org/users/5126227/items/QH9P4XVX"],"uri":["http://zotero.org/users/5126227/items/QH9P4XVX"],"itemData":{"id":9831,"type":"article-journal","abstract":"The ability to attribute intentions to others is a hallmark of human social cognition but is altered in paranoia. Paranoia is the most common positive symptom of psychosis but is also present to varying degrees in the general population. Epidemiological models suggest that psychosis risk is associated with low social rank and minority status, but the causal effects of status and group affiliation on paranoid thinking remain unclear. We examined whether relative social status and perceived group affiliation, respectively, affect live paranoid thinking using two large-N (N = 2030), pre-registered experiments. Interacting with someone from a higher social rank or a political out-group led to an increase in paranoid attributions of harmful intent for ambiguous actions. Pre-existing paranoia predicted a general increase in harmful intent attribution, but there was no interaction with either type of social threat: highly paranoid people showed the same magnitude of increase as non-paranoid people, although from a higher baseline. We conclude social threat in the form of low social status and out-group status affects paranoid attributions, but ongoing paranoia represents a lowered threshold for detecting social threat rather than an impaired reactivity to it.","container-title":"Royal Society Open Science","DOI":"10.1098/rsos.180569","issue":"8","journalAbbreviation":"Royal Society Open Science","page":"180569","source":"royalsocietypublishing.org (Atypon)","title":"Experimentally induced social threat increases paranoid thinking","volume":"5","author":[{"family":"Saalfeld","given":"Vaness"},{"family":"Ramadan","given":"Zeina"},{"family":"Bell","given":"Vaughan"},{"family":"Raihani","given":"Nichola J."}],"issued":{"date-parts":[["2018"]]}}}],"schema":"https://github.com/citation-style-language/schema/raw/master/csl-citation.json"} </w:instrText>
      </w:r>
      <w:r w:rsidR="00D3740F">
        <w:fldChar w:fldCharType="separate"/>
      </w:r>
      <w:r w:rsidR="00DB66A9">
        <w:rPr>
          <w:noProof/>
        </w:rPr>
        <w:t>(Raihani and Bell, 2017b; Saalfeld et al., 2018)</w:t>
      </w:r>
      <w:r w:rsidR="00D3740F">
        <w:fldChar w:fldCharType="end"/>
      </w:r>
      <w:r>
        <w:t xml:space="preserve">. </w:t>
      </w:r>
      <w:r w:rsidR="00812369">
        <w:t xml:space="preserve">Variation in punitive tendency was largely explained by harmful intent attribution, but negative social potency also played a minor role. Negative social potency was higher among participants who experience a more paranoid thinking style and paranoia in combination with other terms explained around 30 % of the variance in punishment decisions. </w:t>
      </w:r>
      <w:r w:rsidR="00110C27">
        <w:t>I</w:t>
      </w:r>
      <w:r w:rsidR="005A22CE">
        <w:t xml:space="preserve">t is possible that </w:t>
      </w:r>
      <w:r w:rsidR="005A22CE">
        <w:rPr>
          <w:color w:val="000000" w:themeColor="text1"/>
        </w:rPr>
        <w:t>the</w:t>
      </w:r>
      <w:r w:rsidR="006B3AF0">
        <w:rPr>
          <w:color w:val="000000" w:themeColor="text1"/>
        </w:rPr>
        <w:t xml:space="preserve"> </w:t>
      </w:r>
      <w:r w:rsidR="00D5070D">
        <w:rPr>
          <w:rFonts w:eastAsiaTheme="minorEastAsia"/>
          <w:color w:val="000000" w:themeColor="text1"/>
        </w:rPr>
        <w:t>tendency to punish others and proneness to paranoid thinking</w:t>
      </w:r>
      <w:r w:rsidR="005A22CE">
        <w:rPr>
          <w:rFonts w:eastAsiaTheme="minorEastAsia"/>
          <w:color w:val="000000" w:themeColor="text1"/>
        </w:rPr>
        <w:t xml:space="preserve"> have a common cause</w:t>
      </w:r>
      <w:r w:rsidR="00D5070D">
        <w:rPr>
          <w:rFonts w:eastAsiaTheme="minorEastAsia"/>
          <w:color w:val="000000" w:themeColor="text1"/>
        </w:rPr>
        <w:t>,</w:t>
      </w:r>
      <w:r w:rsidR="007E05EE">
        <w:rPr>
          <w:rFonts w:eastAsiaTheme="minorEastAsia"/>
          <w:color w:val="000000" w:themeColor="text1"/>
        </w:rPr>
        <w:t xml:space="preserve"> </w:t>
      </w:r>
      <w:r w:rsidR="005A22CE">
        <w:rPr>
          <w:rFonts w:eastAsiaTheme="minorEastAsia"/>
          <w:color w:val="000000" w:themeColor="text1"/>
        </w:rPr>
        <w:t>in that</w:t>
      </w:r>
      <w:r w:rsidR="004D36AC">
        <w:rPr>
          <w:rFonts w:eastAsiaTheme="minorEastAsia"/>
          <w:color w:val="000000" w:themeColor="text1"/>
        </w:rPr>
        <w:t xml:space="preserve"> </w:t>
      </w:r>
      <w:r w:rsidR="006B3AF0">
        <w:rPr>
          <w:rFonts w:eastAsiaTheme="minorEastAsia"/>
          <w:color w:val="000000" w:themeColor="text1"/>
        </w:rPr>
        <w:t xml:space="preserve">both </w:t>
      </w:r>
      <w:r w:rsidR="005A22CE">
        <w:rPr>
          <w:rFonts w:eastAsiaTheme="minorEastAsia"/>
          <w:color w:val="000000" w:themeColor="text1"/>
        </w:rPr>
        <w:t>appear to</w:t>
      </w:r>
      <w:r w:rsidR="006B3AF0">
        <w:rPr>
          <w:rFonts w:eastAsiaTheme="minorEastAsia"/>
          <w:color w:val="000000" w:themeColor="text1"/>
        </w:rPr>
        <w:t xml:space="preserve"> be associated with </w:t>
      </w:r>
      <w:r w:rsidR="007E05EE">
        <w:rPr>
          <w:rFonts w:eastAsiaTheme="minorEastAsia"/>
          <w:color w:val="000000" w:themeColor="text1"/>
        </w:rPr>
        <w:t>exposure to</w:t>
      </w:r>
      <w:r w:rsidR="00E319B0">
        <w:rPr>
          <w:rFonts w:eastAsiaTheme="minorEastAsia"/>
          <w:color w:val="000000" w:themeColor="text1"/>
        </w:rPr>
        <w:t xml:space="preserve"> </w:t>
      </w:r>
      <w:r w:rsidR="00D75187">
        <w:rPr>
          <w:rFonts w:eastAsiaTheme="minorEastAsia"/>
          <w:color w:val="000000" w:themeColor="text1"/>
        </w:rPr>
        <w:t>adversity</w:t>
      </w:r>
      <w:r w:rsidR="00E319B0">
        <w:rPr>
          <w:rFonts w:eastAsiaTheme="minorEastAsia"/>
          <w:color w:val="000000" w:themeColor="text1"/>
        </w:rPr>
        <w:t>.</w:t>
      </w:r>
      <w:r w:rsidR="00D75187">
        <w:rPr>
          <w:rFonts w:eastAsiaTheme="minorEastAsia"/>
          <w:color w:val="000000" w:themeColor="text1"/>
        </w:rPr>
        <w:t xml:space="preserve"> </w:t>
      </w:r>
      <w:r w:rsidR="00B359F2" w:rsidRPr="0BE2BDA0">
        <w:rPr>
          <w:rFonts w:eastAsiaTheme="minorEastAsia"/>
        </w:rPr>
        <w:t>Her</w:t>
      </w:r>
      <w:r w:rsidR="00B359F2">
        <w:rPr>
          <w:rFonts w:eastAsiaTheme="minorEastAsia"/>
        </w:rPr>
        <w:t>r</w:t>
      </w:r>
      <w:r w:rsidR="00B359F2" w:rsidRPr="0BE2BDA0">
        <w:rPr>
          <w:rFonts w:eastAsiaTheme="minorEastAsia"/>
        </w:rPr>
        <w:t>man</w:t>
      </w:r>
      <w:r w:rsidR="00B359F2">
        <w:rPr>
          <w:rFonts w:eastAsiaTheme="minorEastAsia"/>
        </w:rPr>
        <w:t>n</w:t>
      </w:r>
      <w:r w:rsidR="00B359F2" w:rsidRPr="0BE2BDA0">
        <w:rPr>
          <w:rFonts w:eastAsiaTheme="minorEastAsia"/>
        </w:rPr>
        <w:t xml:space="preserve"> et al. </w:t>
      </w:r>
      <w:r w:rsidR="00D3740F">
        <w:rPr>
          <w:rFonts w:eastAsiaTheme="minorEastAsia"/>
        </w:rPr>
        <w:fldChar w:fldCharType="begin"/>
      </w:r>
      <w:r w:rsidR="004F69FD">
        <w:rPr>
          <w:rFonts w:eastAsiaTheme="minorEastAsia"/>
        </w:rPr>
        <w:instrText xml:space="preserve"> ADDIN ZOTERO_ITEM CSL_CITATION {"citationID":"kbB0BdGP","properties":{"formattedCitation":"(2008)","plainCitation":"(2008)","noteIndex":0},"citationItems":[{"id":"iyQYOOSa/h2oKqJ7b","uris":["http://zotero.org/users/5126227/items/83KBGTHR"],"uri":["http://zotero.org/users/5126227/items/83KBGTHR"],"itemData":{"id":"TPoI4dN1/RNVApI6O","type":"article-journal","title":"Antisocial punishment across societies","container-title":"Science (New York, NY)","page":"1362–1367","volume":"319","issue":"5868","abstract":"We document the widespread existence of antisocial punishment, that is, the sanctioning of people who behave prosocially. Our evidence comes from public goods experiments that we conducted in 16 comparable participant pools around the world. However, there is a huge cross-societal variation. Some participant pools punished the high contributors as much as they punished the low contributors, whereas in others people only punished low contributors. In some participant pools, antisocial punishment was strong enough to remove the cooperation-enhancing effect of punishment. We also show that weak norms of civic cooperation and the weakness of the rule of law in a country are significant predictors of antisocial punishment. Our results show that punishment opportunities are socially beneficial only if complemented by strong social norms of cooperation.","DOI":"10.1126/science.1153808","note":"PMID: 18323447","language":"eng","author":[{"family":"Herrmann","given":"Benedikt"},{"family":"Thöni","given":"Christian"},{"family":"Gachter","given":"Simon"}],"issued":{"date-parts":[["2008",3]]}},"suppress-author":true}],"schema":"https://github.com/citation-style-language/schema/raw/master/csl-citation.json"} </w:instrText>
      </w:r>
      <w:r w:rsidR="00D3740F">
        <w:rPr>
          <w:rFonts w:eastAsiaTheme="minorEastAsia"/>
        </w:rPr>
        <w:fldChar w:fldCharType="separate"/>
      </w:r>
      <w:r w:rsidR="00D3740F">
        <w:rPr>
          <w:rFonts w:eastAsiaTheme="minorEastAsia"/>
          <w:noProof/>
        </w:rPr>
        <w:t>(2008)</w:t>
      </w:r>
      <w:r w:rsidR="00D3740F">
        <w:rPr>
          <w:rFonts w:eastAsiaTheme="minorEastAsia"/>
        </w:rPr>
        <w:fldChar w:fldCharType="end"/>
      </w:r>
      <w:r w:rsidR="00D3740F">
        <w:rPr>
          <w:rFonts w:eastAsiaTheme="minorEastAsia"/>
        </w:rPr>
        <w:t xml:space="preserve"> </w:t>
      </w:r>
      <w:r w:rsidR="00B359F2">
        <w:rPr>
          <w:rFonts w:eastAsiaTheme="minorEastAsia"/>
        </w:rPr>
        <w:t xml:space="preserve">reported increased </w:t>
      </w:r>
      <w:r w:rsidR="00B359F2" w:rsidRPr="0BE2BDA0">
        <w:rPr>
          <w:rFonts w:eastAsiaTheme="minorEastAsia"/>
        </w:rPr>
        <w:t>antisocial punishment</w:t>
      </w:r>
      <w:r w:rsidR="007E05EE">
        <w:rPr>
          <w:rFonts w:eastAsiaTheme="minorEastAsia"/>
        </w:rPr>
        <w:t xml:space="preserve"> (willingness to punish </w:t>
      </w:r>
      <w:proofErr w:type="spellStart"/>
      <w:r w:rsidR="007E05EE">
        <w:rPr>
          <w:rFonts w:eastAsiaTheme="minorEastAsia"/>
        </w:rPr>
        <w:t>cooperators</w:t>
      </w:r>
      <w:proofErr w:type="spellEnd"/>
      <w:r w:rsidR="007E05EE">
        <w:rPr>
          <w:rFonts w:eastAsiaTheme="minorEastAsia"/>
        </w:rPr>
        <w:t xml:space="preserve">) </w:t>
      </w:r>
      <w:r w:rsidR="00B359F2" w:rsidRPr="0BE2BDA0">
        <w:rPr>
          <w:rFonts w:eastAsiaTheme="minorEastAsia"/>
        </w:rPr>
        <w:t xml:space="preserve">in </w:t>
      </w:r>
      <w:r w:rsidR="00D75187">
        <w:rPr>
          <w:rFonts w:eastAsiaTheme="minorEastAsia"/>
        </w:rPr>
        <w:t xml:space="preserve">social environments </w:t>
      </w:r>
      <w:r w:rsidR="00B359F2">
        <w:rPr>
          <w:rFonts w:eastAsiaTheme="minorEastAsia"/>
        </w:rPr>
        <w:t xml:space="preserve">with low GDP and weak civic norms of cooperation (see also </w:t>
      </w:r>
      <w:r w:rsidR="00D3740F">
        <w:rPr>
          <w:rFonts w:eastAsiaTheme="minorEastAsia"/>
        </w:rPr>
        <w:fldChar w:fldCharType="begin"/>
      </w:r>
      <w:r w:rsidR="004F69FD">
        <w:rPr>
          <w:rFonts w:eastAsiaTheme="minorEastAsia"/>
        </w:rPr>
        <w:instrText xml:space="preserve"> ADDIN ZOTERO_ITEM CSL_CITATION {"citationID":"wFszcnZI","properties":{"formattedCitation":"(Bone et al., 2016; Raihani and Deutchman, 2017)","plainCitation":"(Bone et al., 2016; Raihani and Deutchman, 2017)","noteIndex":0},"citationItems":[{"id":"iyQYOOSa/pKjHRnFb","uris":["http://zotero.org/users/5126227/items/BBJ7BJWI"],"uri":["http://zotero.org/users/5126227/items/BBJ7BJWI"],"itemData":{"id":"TPoI4dN1/TLMbLzvb","type":"article-journal","title":"Exploring the Motivations for Punishment: Framing and Country-Level Effects","container-title":"PLoS ONE","page":"e0159769","volume":"11","issue":"8","abstract":"Identifying the motives underpinning punishment is crucial for understanding its evolved function. In principle, punishment of distributional inequality could be motivated by the desire to reciprocate losses ('revenge') or by the desire to reduce payoff asymmetries between the punisher and the target ('inequality aversion'). By separating these two possible motivations, recent work suggests that punishment is more likely to be motivated by disadvantageous inequality aversion than by a desire for revenge. Nevertheless, these findings have not consistently replicated across different studies. Here, we suggest that considering country of origin—previously overlooked as a possible source of variation in responses—is important for understanding when and why individuals punish one another. We conducted a two-player stealing game with punishment, using data from 2,400 subjects recruited from the USA and India. US-based subjects punished in response to losses and disadvantageous inequality, but seldom invested in antisocial punishment (defined here as punishment of non-stealing partners). India-based subjects, on the other hand, punished at higher levels than US-based subjects and, so long as they did not experience disadvantageous inequality, punished stealing and non-stealing partners indiscriminately. Nevertheless, as in the USA, when stealing resulted in disadvantageous inequality, India-based subjects punished stealing partners more than non-stealing partners. These results are consistent with the hypothesis that variation in punitive behavior varies across societies, and support the idea that punishment might sometimes function to improve relative status, rather than to enforce cooperation.","DOI":"10.1371/journal.pone.0159769","journalAbbreviation":"Plos ONE","author":[{"family":"Bone","given":"Jonathan E"},{"family":"McAuliffe","given":"Katherine"},{"family":"Raihani","given":"Nichola J"}],"editor":[{"family":"Kaminski","given":"Juliane"}],"issued":{"date-parts":[["2016",8,3]]}}},{"id":3224,"uris":["http://zotero.org/users/5126227/items/BESVFW3T"],"uri":["http://zotero.org/users/5126227/items/BESVFW3T"],"itemData":{"id":3224,"type":"article-journal","abstract":"Humans commonly punish exploitative group members but punishment is also frequently targeted at cooperative individuals. The proclivity for ‘antisocial punishment’ varies widely across societies, although the reasons for this variation remain unclear. Here, we identify personality factors associated with antisocial punishment, using a joy-of-destruction game with participants from India and the USA. This game allows players to harm one another, by destroying the partner’s earnings, without any strategic incentive for doing so. High Dark Triad scores, implying the presence of personality traits underlying selfish and aggressive behavior, predicted destruction in this game. Participants from India scored higher on the Dark Triad scale than players from the USA, and were more likely than US-based participants to destroy the partner’s endowment. These data suggest that Dark Triad personality traits could be a proximate explanation for antisocial behavior.","container-title":"PsyArXiv","DOI":"10.31234/osf.io/8t6k5","source":"psyarxiv.com","title":"Dark Triad personality traits vary across countries and predict antisocial behavior","URL":"https://psyarxiv.com/8t6k5/","author":[{"family":"Raihani","given":"Nichola J."},{"family":"Deutchman","given":"Paul"}],"accessed":{"date-parts":[["2018",9,18]]},"issued":{"date-parts":[["2017",10,2]]}}}],"schema":"https://github.com/citation-style-language/schema/raw/master/csl-citation.json"} </w:instrText>
      </w:r>
      <w:r w:rsidR="00D3740F">
        <w:rPr>
          <w:rFonts w:eastAsiaTheme="minorEastAsia"/>
        </w:rPr>
        <w:fldChar w:fldCharType="separate"/>
      </w:r>
      <w:r w:rsidR="00D3740F">
        <w:rPr>
          <w:rFonts w:eastAsiaTheme="minorEastAsia"/>
          <w:noProof/>
        </w:rPr>
        <w:t>(Bone et al., 2016; Raihani and Deutchman, 2017)</w:t>
      </w:r>
      <w:r w:rsidR="00D3740F">
        <w:rPr>
          <w:rFonts w:eastAsiaTheme="minorEastAsia"/>
        </w:rPr>
        <w:fldChar w:fldCharType="end"/>
      </w:r>
      <w:r w:rsidR="00B359F2">
        <w:rPr>
          <w:rFonts w:eastAsiaTheme="minorEastAsia"/>
        </w:rPr>
        <w:t xml:space="preserve">). Similarly, </w:t>
      </w:r>
      <w:r w:rsidR="00D75187">
        <w:rPr>
          <w:rFonts w:eastAsiaTheme="minorEastAsia"/>
        </w:rPr>
        <w:t>in field-based experimental tasks,</w:t>
      </w:r>
      <w:r w:rsidR="00687BDE">
        <w:rPr>
          <w:rFonts w:eastAsiaTheme="minorEastAsia"/>
        </w:rPr>
        <w:t xml:space="preserve"> </w:t>
      </w:r>
      <w:r w:rsidR="00B359F2">
        <w:rPr>
          <w:rFonts w:eastAsiaTheme="minorEastAsia"/>
        </w:rPr>
        <w:t xml:space="preserve">exposure to resource scarcity predicted antisocial </w:t>
      </w:r>
      <w:r w:rsidR="00D75187">
        <w:rPr>
          <w:rFonts w:eastAsiaTheme="minorEastAsia"/>
        </w:rPr>
        <w:t xml:space="preserve">punishment </w:t>
      </w:r>
      <w:r w:rsidR="00687BDE">
        <w:rPr>
          <w:rFonts w:eastAsiaTheme="minorEastAsia"/>
        </w:rPr>
        <w:t>(</w:t>
      </w:r>
      <w:proofErr w:type="spellStart"/>
      <w:r w:rsidR="00687BDE">
        <w:rPr>
          <w:rFonts w:eastAsiaTheme="minorEastAsia"/>
        </w:rPr>
        <w:t>Prediger</w:t>
      </w:r>
      <w:proofErr w:type="spellEnd"/>
      <w:r w:rsidR="00687BDE">
        <w:rPr>
          <w:rFonts w:eastAsiaTheme="minorEastAsia"/>
        </w:rPr>
        <w:t xml:space="preserve"> et al. </w:t>
      </w:r>
      <w:r w:rsidR="00687BDE">
        <w:rPr>
          <w:rFonts w:eastAsiaTheme="minorEastAsia"/>
        </w:rPr>
        <w:fldChar w:fldCharType="begin"/>
      </w:r>
      <w:r w:rsidR="004F69FD">
        <w:rPr>
          <w:rFonts w:eastAsiaTheme="minorEastAsia"/>
        </w:rPr>
        <w:instrText xml:space="preserve"> ADDIN ZOTERO_ITEM CSL_CITATION {"citationID":"xnRKPgxw","properties":{"formattedCitation":"(2014)","plainCitation":"(2014)","noteIndex":0},"citationItems":[{"id":"iyQYOOSa/LhcuTk16","uris":["http://zotero.org/users/local/LNWAA8co/items/HBPEU6SI"],"uri":["http://zotero.org/users/local/LNWAA8co/items/HBPEU6SI"],"itemData":{"id":4479,"type":"article-journal","title":"Resource scarcity and antisocial behavior","container-title":"Journal of Public Economics","page":"1-9","volume":"119","journalAbbreviation":"Journal of Public Economics","author":[{"family":"Prediger","given":"S"},{"family":"Vollan","given":"B"},{"family":"Herrmann","given":"Benedikt"}],"issued":{"date-parts":[["2014",12,15]]}},"suppress-author":true}],"schema":"https://github.com/citation-style-language/schema/raw/master/csl-citation.json"} </w:instrText>
      </w:r>
      <w:r w:rsidR="00687BDE">
        <w:rPr>
          <w:rFonts w:eastAsiaTheme="minorEastAsia"/>
        </w:rPr>
        <w:fldChar w:fldCharType="separate"/>
      </w:r>
      <w:r w:rsidR="00687BDE">
        <w:rPr>
          <w:rFonts w:eastAsiaTheme="minorEastAsia"/>
          <w:noProof/>
        </w:rPr>
        <w:t>(2014)</w:t>
      </w:r>
      <w:r w:rsidR="00687BDE">
        <w:rPr>
          <w:rFonts w:eastAsiaTheme="minorEastAsia"/>
        </w:rPr>
        <w:fldChar w:fldCharType="end"/>
      </w:r>
      <w:r w:rsidR="00687BDE">
        <w:rPr>
          <w:rFonts w:eastAsiaTheme="minorEastAsia"/>
        </w:rPr>
        <w:t xml:space="preserve">) </w:t>
      </w:r>
      <w:r w:rsidR="00D75187">
        <w:rPr>
          <w:rFonts w:eastAsiaTheme="minorEastAsia"/>
        </w:rPr>
        <w:t xml:space="preserve">and increased </w:t>
      </w:r>
      <w:r w:rsidR="00B359F2">
        <w:rPr>
          <w:rFonts w:eastAsiaTheme="minorEastAsia"/>
        </w:rPr>
        <w:t>exploitative strategies</w:t>
      </w:r>
      <w:r w:rsidR="00D3740F">
        <w:rPr>
          <w:rFonts w:eastAsiaTheme="minorEastAsia"/>
        </w:rPr>
        <w:t xml:space="preserve"> </w:t>
      </w:r>
      <w:r w:rsidR="00D3740F">
        <w:rPr>
          <w:rFonts w:eastAsiaTheme="minorEastAsia"/>
        </w:rPr>
        <w:fldChar w:fldCharType="begin"/>
      </w:r>
      <w:r w:rsidR="004F69FD">
        <w:rPr>
          <w:rFonts w:eastAsiaTheme="minorEastAsia"/>
        </w:rPr>
        <w:instrText xml:space="preserve"> ADDIN ZOTERO_ITEM CSL_CITATION {"citationID":"td5ALT8v","properties":{"formattedCitation":"(Blanco et al., 2015)","plainCitation":"(Blanco et al., 2015)","noteIndex":0},"citationItems":[{"id":"iyQYOOSa/QpzhXT13","uris":["http://zotero.org/users/local/LNWAA8co/items/544ANZW6"],"uri":["http://zotero.org/users/local/LNWAA8co/items/544ANZW6"],"itemData":{"id":4568,"type":"article-journal","title":"Exogenous degradation in the commons: Field experimental evidence","container-title":"Ecological Economics","page":"430-439","volume":"120","abstract":"This article presents the results from framed field economic experiments in rural Colombia that aim to explore the behavioral responses of resource us…","DOI":"10.1016/j.ecolecon.2015.03.028","journalAbbreviation":"Ecological Economics","author":[{"family":"Blanco","given":"Esther"},{"family":"Lopez","given":"Maria Claudia"},{"family":"Villamayor-Tomas","given":"Sergio"}],"issued":{"date-parts":[["2015",12,1]]}}}],"schema":"https://github.com/citation-style-language/schema/raw/master/csl-citation.json"} </w:instrText>
      </w:r>
      <w:r w:rsidR="00D3740F">
        <w:rPr>
          <w:rFonts w:eastAsiaTheme="minorEastAsia"/>
        </w:rPr>
        <w:fldChar w:fldCharType="separate"/>
      </w:r>
      <w:r w:rsidR="00D3740F">
        <w:rPr>
          <w:rFonts w:eastAsiaTheme="minorEastAsia"/>
          <w:noProof/>
        </w:rPr>
        <w:t>(Blanco et al., 2015)</w:t>
      </w:r>
      <w:r w:rsidR="00D3740F">
        <w:rPr>
          <w:rFonts w:eastAsiaTheme="minorEastAsia"/>
        </w:rPr>
        <w:fldChar w:fldCharType="end"/>
      </w:r>
      <w:r w:rsidR="00B359F2">
        <w:rPr>
          <w:rFonts w:eastAsiaTheme="minorEastAsia"/>
        </w:rPr>
        <w:t xml:space="preserve"> </w:t>
      </w:r>
      <w:r w:rsidR="00D3740F">
        <w:rPr>
          <w:rFonts w:eastAsiaTheme="minorEastAsia"/>
        </w:rPr>
        <w:fldChar w:fldCharType="begin"/>
      </w:r>
      <w:r w:rsidR="004F69FD">
        <w:rPr>
          <w:rFonts w:eastAsiaTheme="minorEastAsia"/>
        </w:rPr>
        <w:instrText xml:space="preserve"> ADDIN ZOTERO_ITEM CSL_CITATION {"citationID":"tpPMQdBa","properties":{"formattedCitation":"(Gatiso et al., 2015)","plainCitation":"(Gatiso et al., 2015)","noteIndex":0},"citationItems":[{"id":"iyQYOOSa/JC7SvJt9","uris":["http://zotero.org/users/local/LNWAA8co/items/QVNC24MZ"],"uri":["http://zotero.org/users/local/LNWAA8co/items/QVNC24MZ"],"itemData":{"id":2572,"type":"article-journal","title":"Resource scarcity and democratic elections in commons dilemmas: An experiment on forest use in Ethiopia","container-title":"Ecological Economics","page":"199-207","volume":"114","abstract":"We study the effect of resource scarcity on human behavior using dynamic lab-in-the-field experiments which are framed around the extraction of trees …","DOI":"10.1016/j.ecolecon.2015.04.005","journalAbbreviation":"Ecological Economics","author":[{"family":"Gatiso","given":"Tsegaye T"},{"family":"Vollan","given":"Björn"},{"family":"Nuppenau","given":"Ernst-August"}],"issued":{"date-parts":[["2015",6,1]]}}}],"schema":"https://github.com/citation-style-language/schema/raw/master/csl-citation.json"} </w:instrText>
      </w:r>
      <w:r w:rsidR="00D3740F">
        <w:rPr>
          <w:rFonts w:eastAsiaTheme="minorEastAsia"/>
        </w:rPr>
        <w:fldChar w:fldCharType="separate"/>
      </w:r>
      <w:r w:rsidR="00D3740F">
        <w:rPr>
          <w:rFonts w:eastAsiaTheme="minorEastAsia"/>
          <w:noProof/>
        </w:rPr>
        <w:t>(Gatiso et al., 2015)</w:t>
      </w:r>
      <w:r w:rsidR="00D3740F">
        <w:rPr>
          <w:rFonts w:eastAsiaTheme="minorEastAsia"/>
        </w:rPr>
        <w:fldChar w:fldCharType="end"/>
      </w:r>
      <w:r w:rsidR="00B359F2">
        <w:rPr>
          <w:rFonts w:eastAsiaTheme="minorEastAsia"/>
        </w:rPr>
        <w:t xml:space="preserve">). </w:t>
      </w:r>
    </w:p>
    <w:p w14:paraId="5CE2550D" w14:textId="69EE06D0" w:rsidR="00687BDE" w:rsidRDefault="00687BDE" w:rsidP="00164E47">
      <w:pPr>
        <w:spacing w:line="360" w:lineRule="auto"/>
        <w:jc w:val="both"/>
        <w:rPr>
          <w:rFonts w:eastAsiaTheme="minorEastAsia"/>
        </w:rPr>
      </w:pPr>
    </w:p>
    <w:p w14:paraId="39A9355E" w14:textId="608D3BBF" w:rsidR="00D72BD3" w:rsidRDefault="002116E6" w:rsidP="00886CEE">
      <w:pPr>
        <w:spacing w:line="360" w:lineRule="auto"/>
        <w:jc w:val="both"/>
      </w:pPr>
      <w:r>
        <w:rPr>
          <w:rFonts w:eastAsiaTheme="minorEastAsia"/>
        </w:rPr>
        <w:t>P</w:t>
      </w:r>
      <w:r w:rsidR="00E542BE">
        <w:rPr>
          <w:rFonts w:eastAsiaTheme="minorEastAsia"/>
        </w:rPr>
        <w:t>aranoia was associated with a reduced enjoyment of prosocial behaviour</w:t>
      </w:r>
      <w:r>
        <w:rPr>
          <w:rFonts w:eastAsiaTheme="minorEastAsia"/>
        </w:rPr>
        <w:t>, but did not explain variation in observed generosity in the Dictator Game.</w:t>
      </w:r>
      <w:r w:rsidR="00E542BE">
        <w:rPr>
          <w:rFonts w:eastAsiaTheme="minorEastAsia"/>
        </w:rPr>
        <w:t xml:space="preserve"> </w:t>
      </w:r>
      <w:r w:rsidR="005A22CE">
        <w:rPr>
          <w:rFonts w:eastAsiaTheme="minorEastAsia"/>
        </w:rPr>
        <w:t>Variance in generosity was largely explained by age and, to a lesser extent, by enjoyment of prosocial interactions. The fact that paranoia was not uniquely associated with variation in generosity</w:t>
      </w:r>
      <w:r w:rsidR="00D5070D">
        <w:t xml:space="preserve"> </w:t>
      </w:r>
      <w:r>
        <w:t>contradicts</w:t>
      </w:r>
      <w:r w:rsidR="00E542BE">
        <w:t xml:space="preserve"> </w:t>
      </w:r>
      <w:r w:rsidR="00D5070D">
        <w:t xml:space="preserve">our previous finding </w:t>
      </w:r>
      <w:r w:rsidR="001C2C9A">
        <w:fldChar w:fldCharType="begin"/>
      </w:r>
      <w:r w:rsidR="004F69FD">
        <w:instrText xml:space="preserve"> ADDIN ZOTERO_ITEM CSL_CITATION {"citationID":"rvjOpn1O","properties":{"formattedCitation":"(Raihani and Bell, 2017a)","plainCitation":"(Raihani and Bell, 2017a)","noteIndex":0},"citationItems":[{"id":"iyQYOOSa/giIG7oVm","uris":["http://zotero.org/users/5126227/items/HHYJ6GU5"],"uri":["http://zotero.org/users/5126227/items/HHYJ6GU5"],"itemData":{"id":"Uv6bdjVq/HeagCNlg","type":"article-journal","title":"Conflict and cooperation in paranoia: a large-scale behavioural experiment","container-title":"Psychological Medicine","page":"1–11","volume":"76","abstract":"&lt;div class=\"title\"&gt;Conflict and cooperation in paranoia: a large-scale behavioural experiment&lt;/div&gt; - N. J. Raihani, V. Bell","DOI":"10.1017/S0033291717003075","language":"English","author":[{"family":"Raihani","given":"N J"},{"family":"Bell","given":"V"}],"issued":{"date-parts":[["2017",10]]}}}],"schema":"https://github.com/citation-style-language/schema/raw/master/csl-citation.json"} </w:instrText>
      </w:r>
      <w:r w:rsidR="001C2C9A">
        <w:fldChar w:fldCharType="separate"/>
      </w:r>
      <w:r w:rsidR="001C2C9A">
        <w:rPr>
          <w:noProof/>
        </w:rPr>
        <w:t>(Raihani and Bell, 2017a)</w:t>
      </w:r>
      <w:r w:rsidR="001C2C9A">
        <w:fldChar w:fldCharType="end"/>
      </w:r>
      <w:r w:rsidR="00D5070D">
        <w:t xml:space="preserve">, </w:t>
      </w:r>
      <w:r w:rsidR="00E542BE">
        <w:t>al</w:t>
      </w:r>
      <w:r w:rsidR="00D5070D">
        <w:t>though we note a potentially important differen</w:t>
      </w:r>
      <w:r w:rsidR="003647F5">
        <w:t>ce</w:t>
      </w:r>
      <w:r w:rsidR="00D5070D">
        <w:t xml:space="preserve"> between the two studies </w:t>
      </w:r>
      <w:r w:rsidR="003647F5">
        <w:t xml:space="preserve">that </w:t>
      </w:r>
      <w:r w:rsidR="00D5070D">
        <w:t xml:space="preserve">might be relevant. In the current study, participants in the dictator role knew that they could be punished by their partner, whereas this information </w:t>
      </w:r>
      <w:r w:rsidR="00D5070D">
        <w:lastRenderedPageBreak/>
        <w:t xml:space="preserve">was not supplied in the previous study. The concern about being punished might </w:t>
      </w:r>
      <w:r w:rsidR="00C20C4C">
        <w:t>explain why we fail to detect the negative effect of paranoia on generosity in this study</w:t>
      </w:r>
      <w:r>
        <w:t>: the association between paranoia and generosity might depend upon</w:t>
      </w:r>
      <w:r w:rsidR="00411134">
        <w:t xml:space="preserve"> </w:t>
      </w:r>
      <w:r w:rsidR="001C2C9A">
        <w:t>strategic concerns</w:t>
      </w:r>
      <w:r w:rsidR="00411134">
        <w:t xml:space="preserve">. </w:t>
      </w:r>
      <w:r w:rsidR="007D7C3E">
        <w:t xml:space="preserve">This suggests that paranoia is not simply associated with </w:t>
      </w:r>
      <w:r w:rsidR="00556D98">
        <w:t xml:space="preserve">antisocial tendencies, which </w:t>
      </w:r>
      <w:r w:rsidR="007D7C3E">
        <w:t>would involve both increased punitive behaviour and reduced genero</w:t>
      </w:r>
      <w:r w:rsidR="00556D98">
        <w:t>sity,</w:t>
      </w:r>
      <w:r w:rsidR="007D7C3E">
        <w:t xml:space="preserve"> </w:t>
      </w:r>
      <w:r w:rsidR="004836B4">
        <w:t xml:space="preserve">but </w:t>
      </w:r>
      <w:r w:rsidR="007D7C3E">
        <w:t xml:space="preserve">that </w:t>
      </w:r>
      <w:r w:rsidR="00BE3EAB">
        <w:t xml:space="preserve">each of these behaviours </w:t>
      </w:r>
      <w:r w:rsidR="007D7C3E">
        <w:t xml:space="preserve">may be </w:t>
      </w:r>
      <w:r w:rsidR="002C38BB">
        <w:t xml:space="preserve">subject to </w:t>
      </w:r>
      <w:r w:rsidR="00556D98">
        <w:t>independent</w:t>
      </w:r>
      <w:r w:rsidR="002C38BB">
        <w:t xml:space="preserve"> risk factors</w:t>
      </w:r>
      <w:r w:rsidR="00BE3EAB">
        <w:t xml:space="preserve"> and may fulfil different functions</w:t>
      </w:r>
      <w:r w:rsidR="005A22CE">
        <w:t xml:space="preserve"> (see also </w:t>
      </w:r>
      <w:r w:rsidR="005A22CE">
        <w:fldChar w:fldCharType="begin"/>
      </w:r>
      <w:r w:rsidR="008C33A0">
        <w:instrText xml:space="preserve"> ADDIN ZOTERO_ITEM CSL_CITATION {"citationID":"yTJAKKBf","properties":{"formattedCitation":"(Moll et al., 2018)","plainCitation":"(Moll et al., 2018)","noteIndex":0},"citationItems":[{"id":10231,"uris":["http://zotero.org/users/5126227/items/5PYSJ3AU"],"uri":["http://zotero.org/users/5126227/items/5PYSJ3AU"],"itemData":{"id":10231,"type":"article-journal","abstract":"Studies on the neural underpinnings of generosity and selfishness typically use healthy volunteers. Moll et al. report the effect of cortical injuries on the wi","container-title":"Brain","DOI":"10.1093/brain/awy064","ISSN":"0006-8950","issue":"5","journalAbbreviation":"Brain","language":"en","page":"1558-1569","source":"academic.oup.com","title":"Altruistic decisions following penetrating traumatic brain injury","volume":"141","author":[{"family":"Moll","given":"Jorge"},{"family":"Oliveira-Souza","given":"Ricardo","non-dropping-particle":"de"},{"family":"Basilio","given":"Rodrigo"},{"family":"Bramati","given":"Ivanei Edson"},{"family":"Gordon","given":"Barry"},{"family":"Rodríguez-Nieto","given":"Geraldine"},{"family":"Zahn","given":"Roland"},{"family":"Krueger","given":"Frank"},{"family":"Grafman","given":"Jordan"}],"issued":{"date-parts":[["2018",5,1]]}}}],"schema":"https://github.com/citation-style-language/schema/raw/master/csl-citation.json"} </w:instrText>
      </w:r>
      <w:r w:rsidR="005A22CE">
        <w:fldChar w:fldCharType="separate"/>
      </w:r>
      <w:r w:rsidR="005A22CE">
        <w:rPr>
          <w:noProof/>
        </w:rPr>
        <w:t>(Moll et al., 2018)</w:t>
      </w:r>
      <w:r w:rsidR="005A22CE">
        <w:fldChar w:fldCharType="end"/>
      </w:r>
      <w:r w:rsidR="005A22CE">
        <w:t>)</w:t>
      </w:r>
      <w:r w:rsidR="002C38BB">
        <w:t xml:space="preserve">. </w:t>
      </w:r>
    </w:p>
    <w:p w14:paraId="787A5CE2" w14:textId="1D760F76" w:rsidR="00C20C4C" w:rsidRDefault="00C20C4C" w:rsidP="00164E47">
      <w:pPr>
        <w:spacing w:line="360" w:lineRule="auto"/>
        <w:jc w:val="both"/>
      </w:pPr>
    </w:p>
    <w:p w14:paraId="553BD198" w14:textId="17AAEE0D" w:rsidR="00C20C4C" w:rsidRDefault="00C20C4C" w:rsidP="00164E47">
      <w:pPr>
        <w:spacing w:line="360" w:lineRule="auto"/>
        <w:jc w:val="both"/>
      </w:pPr>
      <w:r>
        <w:t xml:space="preserve">There are several caveats and notes of caution when interpreting these data. First, we want to stress that punishment and generosity here are measured in highly abstract settings, involving small sums of money and that an increased willingness to punish in such an experiment should not be taken as indicative of a tendency towards aggression or hostility in real life. While we recruited a fairly diverse sample, it should also be borne in mind that all data come from US-based participants and that the population on </w:t>
      </w:r>
      <w:proofErr w:type="spellStart"/>
      <w:r>
        <w:t>MTurk</w:t>
      </w:r>
      <w:proofErr w:type="spellEnd"/>
      <w:r>
        <w:t xml:space="preserve"> is younger, less racially diverse and more politically liberal than the US population average. Ideally, future work would explore the extent to which these findings might generalise across populations and also in samples including patients with a psychotic-spectrum disorder.</w:t>
      </w:r>
    </w:p>
    <w:p w14:paraId="008CE5C5" w14:textId="77777777" w:rsidR="003647F5" w:rsidRDefault="003647F5" w:rsidP="003647F5"/>
    <w:p w14:paraId="492B567B" w14:textId="1B8114F3" w:rsidR="00920A96" w:rsidRDefault="00920A96" w:rsidP="003647F5">
      <w:r>
        <w:t>Acknowledgements</w:t>
      </w:r>
    </w:p>
    <w:p w14:paraId="420D69B3" w14:textId="77777777" w:rsidR="003647F5" w:rsidRDefault="003647F5" w:rsidP="003647F5"/>
    <w:p w14:paraId="10527A87" w14:textId="5719D950" w:rsidR="002E3913" w:rsidRDefault="00920A96" w:rsidP="00164E47">
      <w:pPr>
        <w:spacing w:line="360" w:lineRule="auto"/>
        <w:jc w:val="both"/>
      </w:pPr>
      <w:r>
        <w:t>NR is supported by a Royal Society University Research Fellowship</w:t>
      </w:r>
      <w:r w:rsidR="00C20C4C">
        <w:t xml:space="preserve"> and the Leverhulme Trust</w:t>
      </w:r>
      <w:r>
        <w:t xml:space="preserve">. VB is supported by a </w:t>
      </w:r>
      <w:proofErr w:type="spellStart"/>
      <w:r>
        <w:t>Wellcome</w:t>
      </w:r>
      <w:proofErr w:type="spellEnd"/>
      <w:r>
        <w:t xml:space="preserve"> Trust Seed Award. Thanks to Prof Mukherjee and Prof </w:t>
      </w:r>
      <w:proofErr w:type="spellStart"/>
      <w:r>
        <w:t>Nimon</w:t>
      </w:r>
      <w:proofErr w:type="spellEnd"/>
      <w:r>
        <w:t xml:space="preserve"> with helpful advice and code for using the R </w:t>
      </w:r>
      <w:proofErr w:type="spellStart"/>
      <w:r>
        <w:rPr>
          <w:i/>
        </w:rPr>
        <w:t>yhat</w:t>
      </w:r>
      <w:proofErr w:type="spellEnd"/>
      <w:r>
        <w:t xml:space="preserve"> package</w:t>
      </w:r>
      <w:r w:rsidR="00814F5D">
        <w:t xml:space="preserve"> with cumulative link models</w:t>
      </w:r>
      <w:r>
        <w:t>.</w:t>
      </w:r>
      <w:r w:rsidR="000B2A27">
        <w:t xml:space="preserve"> A preprint of this article has been posted online at </w:t>
      </w:r>
      <w:r w:rsidR="000B2A27" w:rsidRPr="000B2A27">
        <w:t>https://psyarxiv.com/md68x/</w:t>
      </w:r>
      <w:r w:rsidR="000B2A27">
        <w:t>.</w:t>
      </w:r>
    </w:p>
    <w:p w14:paraId="322F83DD" w14:textId="02DEBB19" w:rsidR="00B00CC2" w:rsidRDefault="00B00CC2" w:rsidP="00164E47">
      <w:pPr>
        <w:spacing w:line="360" w:lineRule="auto"/>
        <w:jc w:val="both"/>
      </w:pPr>
    </w:p>
    <w:p w14:paraId="35BC6215" w14:textId="4A865BD0" w:rsidR="00B00CC2" w:rsidRDefault="00B00CC2" w:rsidP="00164E47">
      <w:pPr>
        <w:spacing w:line="360" w:lineRule="auto"/>
        <w:jc w:val="both"/>
      </w:pPr>
      <w:r>
        <w:t xml:space="preserve">Conflict of Interest: The authors declare none. </w:t>
      </w:r>
    </w:p>
    <w:p w14:paraId="052FDD15" w14:textId="77777777" w:rsidR="00466D00" w:rsidRDefault="00466D00" w:rsidP="00164E47">
      <w:pPr>
        <w:spacing w:line="360" w:lineRule="auto"/>
        <w:jc w:val="both"/>
      </w:pPr>
    </w:p>
    <w:p w14:paraId="2561B084" w14:textId="77777777" w:rsidR="00181E7C" w:rsidRDefault="00181E7C"/>
    <w:p w14:paraId="661B19E5" w14:textId="77777777" w:rsidR="00181E7C" w:rsidRDefault="00181E7C"/>
    <w:p w14:paraId="0D6F1CD9" w14:textId="77777777" w:rsidR="00AA401F" w:rsidRDefault="00AA401F" w:rsidP="00181E7C"/>
    <w:p w14:paraId="6DDB7BB3" w14:textId="3CC17E67" w:rsidR="007F3870" w:rsidRDefault="007F3870">
      <w:r>
        <w:br w:type="page"/>
      </w:r>
    </w:p>
    <w:p w14:paraId="212E08DA" w14:textId="25E285B5" w:rsidR="002E3913" w:rsidRDefault="007F3870" w:rsidP="004D752D">
      <w:r>
        <w:lastRenderedPageBreak/>
        <w:t>References</w:t>
      </w:r>
    </w:p>
    <w:p w14:paraId="7E30372F" w14:textId="77777777" w:rsidR="007F3870" w:rsidRPr="002E3913" w:rsidRDefault="007F3870" w:rsidP="004D752D"/>
    <w:p w14:paraId="5FBEABA0" w14:textId="77777777" w:rsidR="002D69FC" w:rsidRPr="002D69FC" w:rsidRDefault="0011309D" w:rsidP="002D69FC">
      <w:pPr>
        <w:pStyle w:val="Bibliography"/>
        <w:rPr>
          <w:lang w:val="en-US"/>
        </w:rPr>
      </w:pPr>
      <w:r>
        <w:fldChar w:fldCharType="begin"/>
      </w:r>
      <w:r w:rsidR="005F025D">
        <w:instrText xml:space="preserve"> ADDIN ZOTERO_BIBL {"uncited":[],"omitted":[],"custom":[]} CSL_BIBLIOGRAPHY </w:instrText>
      </w:r>
      <w:r>
        <w:fldChar w:fldCharType="separate"/>
      </w:r>
      <w:r w:rsidR="002D69FC" w:rsidRPr="002D69FC">
        <w:rPr>
          <w:lang w:val="en-US"/>
        </w:rPr>
        <w:t xml:space="preserve">Ahmed, A.O., Green, B.A., Buckley, P.F., and McFarland, M.E. (2012). Taxometric analyses of paranoid and schizoid personality disorders. Psychiatry Res. </w:t>
      </w:r>
      <w:r w:rsidR="002D69FC" w:rsidRPr="002D69FC">
        <w:rPr>
          <w:i/>
          <w:iCs/>
          <w:lang w:val="en-US"/>
        </w:rPr>
        <w:t>196</w:t>
      </w:r>
      <w:r w:rsidR="002D69FC" w:rsidRPr="002D69FC">
        <w:rPr>
          <w:lang w:val="en-US"/>
        </w:rPr>
        <w:t>, 123–132.</w:t>
      </w:r>
    </w:p>
    <w:p w14:paraId="30CB0A1E" w14:textId="77777777" w:rsidR="002D69FC" w:rsidRPr="002D69FC" w:rsidRDefault="002D69FC" w:rsidP="002D69FC">
      <w:pPr>
        <w:pStyle w:val="Bibliography"/>
        <w:rPr>
          <w:lang w:val="en-US"/>
        </w:rPr>
      </w:pPr>
      <w:r w:rsidRPr="002D69FC">
        <w:rPr>
          <w:lang w:val="en-US"/>
        </w:rPr>
        <w:t xml:space="preserve">Anderson, F., and Freeman, D. (2013). Socioeconomic Status and Paranoia. J. Nerv. Ment. Dis. </w:t>
      </w:r>
      <w:r w:rsidRPr="002D69FC">
        <w:rPr>
          <w:i/>
          <w:iCs/>
          <w:lang w:val="en-US"/>
        </w:rPr>
        <w:t>201</w:t>
      </w:r>
      <w:r w:rsidRPr="002D69FC">
        <w:rPr>
          <w:lang w:val="en-US"/>
        </w:rPr>
        <w:t>, 698–702.</w:t>
      </w:r>
    </w:p>
    <w:p w14:paraId="784FF770" w14:textId="77777777" w:rsidR="002D69FC" w:rsidRPr="002D69FC" w:rsidRDefault="002D69FC" w:rsidP="002D69FC">
      <w:pPr>
        <w:pStyle w:val="Bibliography"/>
        <w:rPr>
          <w:lang w:val="en-US"/>
        </w:rPr>
      </w:pPr>
      <w:r w:rsidRPr="002D69FC">
        <w:rPr>
          <w:lang w:val="en-US"/>
        </w:rPr>
        <w:t xml:space="preserve">Andreoni, J. (1990). Impure Altruism and Donations to Public Goods: A Theory of Warm-Glow Giving. Econ. J. </w:t>
      </w:r>
      <w:r w:rsidRPr="002D69FC">
        <w:rPr>
          <w:i/>
          <w:iCs/>
          <w:lang w:val="en-US"/>
        </w:rPr>
        <w:t>100</w:t>
      </w:r>
      <w:r w:rsidRPr="002D69FC">
        <w:rPr>
          <w:lang w:val="en-US"/>
        </w:rPr>
        <w:t>, 464.</w:t>
      </w:r>
    </w:p>
    <w:p w14:paraId="2ED47C06" w14:textId="77777777" w:rsidR="002D69FC" w:rsidRPr="002D69FC" w:rsidRDefault="002D69FC" w:rsidP="002D69FC">
      <w:pPr>
        <w:pStyle w:val="Bibliography"/>
        <w:rPr>
          <w:lang w:val="en-US"/>
        </w:rPr>
      </w:pPr>
      <w:r w:rsidRPr="002D69FC">
        <w:rPr>
          <w:lang w:val="en-US"/>
        </w:rPr>
        <w:t xml:space="preserve">Barnby, J.M., Deeley, Q., Robinson, O., Raihani, N., Bell, V., and Mehta, M.A. (2020). Paranoia, sensitization and social inference: findings from two large-scale, multi-round behavioural experiments. R. Soc. Open Sci. </w:t>
      </w:r>
      <w:r w:rsidRPr="002D69FC">
        <w:rPr>
          <w:i/>
          <w:iCs/>
          <w:lang w:val="en-US"/>
        </w:rPr>
        <w:t>7</w:t>
      </w:r>
      <w:r w:rsidRPr="002D69FC">
        <w:rPr>
          <w:lang w:val="en-US"/>
        </w:rPr>
        <w:t>, 191525.</w:t>
      </w:r>
    </w:p>
    <w:p w14:paraId="28A6C13B" w14:textId="77777777" w:rsidR="002D69FC" w:rsidRPr="002D69FC" w:rsidRDefault="002D69FC" w:rsidP="002D69FC">
      <w:pPr>
        <w:pStyle w:val="Bibliography"/>
        <w:rPr>
          <w:lang w:val="en-US"/>
        </w:rPr>
      </w:pPr>
      <w:r w:rsidRPr="002D69FC">
        <w:rPr>
          <w:lang w:val="en-US"/>
        </w:rPr>
        <w:t xml:space="preserve">Bebbington, P.E., McBride, O., Steel, C., Kuipers, E., Radovanoviĉ, M., Brugha, T., Jenkins, R., Meltzer, H.I., and Freeman, D. (2013). The structure of paranoia in the general population. Br. J. Psychiatry </w:t>
      </w:r>
      <w:r w:rsidRPr="002D69FC">
        <w:rPr>
          <w:i/>
          <w:iCs/>
          <w:lang w:val="en-US"/>
        </w:rPr>
        <w:t>202</w:t>
      </w:r>
      <w:r w:rsidRPr="002D69FC">
        <w:rPr>
          <w:lang w:val="en-US"/>
        </w:rPr>
        <w:t>, 419–427.</w:t>
      </w:r>
    </w:p>
    <w:p w14:paraId="204FC01D" w14:textId="77777777" w:rsidR="002D69FC" w:rsidRPr="002D69FC" w:rsidRDefault="002D69FC" w:rsidP="002D69FC">
      <w:pPr>
        <w:pStyle w:val="Bibliography"/>
        <w:rPr>
          <w:lang w:val="en-US"/>
        </w:rPr>
      </w:pPr>
      <w:r w:rsidRPr="002D69FC">
        <w:rPr>
          <w:lang w:val="en-US"/>
        </w:rPr>
        <w:t xml:space="preserve">Blanco, E., Lopez, M.C., and Villamayor-Tomas, S. (2015). Exogenous degradation in the commons: Field experimental evidence. Ecol. Econ. </w:t>
      </w:r>
      <w:r w:rsidRPr="002D69FC">
        <w:rPr>
          <w:i/>
          <w:iCs/>
          <w:lang w:val="en-US"/>
        </w:rPr>
        <w:t>120</w:t>
      </w:r>
      <w:r w:rsidRPr="002D69FC">
        <w:rPr>
          <w:lang w:val="en-US"/>
        </w:rPr>
        <w:t>, 430–439.</w:t>
      </w:r>
    </w:p>
    <w:p w14:paraId="2E89DD8C" w14:textId="77777777" w:rsidR="002D69FC" w:rsidRPr="002D69FC" w:rsidRDefault="002D69FC" w:rsidP="002D69FC">
      <w:pPr>
        <w:pStyle w:val="Bibliography"/>
        <w:rPr>
          <w:lang w:val="en-US"/>
        </w:rPr>
      </w:pPr>
      <w:r w:rsidRPr="002D69FC">
        <w:rPr>
          <w:lang w:val="en-US"/>
        </w:rPr>
        <w:t xml:space="preserve">Bone, J.E., McAuliffe, K., and Raihani, N.J. (2016). Exploring the Motivations for Punishment: Framing and Country-Level Effects. PLoS ONE </w:t>
      </w:r>
      <w:r w:rsidRPr="002D69FC">
        <w:rPr>
          <w:i/>
          <w:iCs/>
          <w:lang w:val="en-US"/>
        </w:rPr>
        <w:t>11</w:t>
      </w:r>
      <w:r w:rsidRPr="002D69FC">
        <w:rPr>
          <w:lang w:val="en-US"/>
        </w:rPr>
        <w:t>, e0159769.</w:t>
      </w:r>
    </w:p>
    <w:p w14:paraId="7A05027F" w14:textId="77777777" w:rsidR="002D69FC" w:rsidRPr="002D69FC" w:rsidRDefault="002D69FC" w:rsidP="002D69FC">
      <w:pPr>
        <w:pStyle w:val="Bibliography"/>
        <w:rPr>
          <w:lang w:val="en-US"/>
        </w:rPr>
      </w:pPr>
      <w:r w:rsidRPr="002D69FC">
        <w:rPr>
          <w:lang w:val="en-US"/>
        </w:rPr>
        <w:t xml:space="preserve">Bosqui, T.J., Hoy, K., and Shannon, C. (2014). A systematic review and meta-analysis of the ethnic density effect in psychotic disorders. Soc. Psychiatry Psychiatr. Epidemiol. </w:t>
      </w:r>
      <w:r w:rsidRPr="002D69FC">
        <w:rPr>
          <w:i/>
          <w:iCs/>
          <w:lang w:val="en-US"/>
        </w:rPr>
        <w:t>49</w:t>
      </w:r>
      <w:r w:rsidRPr="002D69FC">
        <w:rPr>
          <w:lang w:val="en-US"/>
        </w:rPr>
        <w:t>, 519–529.</w:t>
      </w:r>
    </w:p>
    <w:p w14:paraId="2D3DBCA5" w14:textId="1C66D933" w:rsidR="002D69FC" w:rsidRDefault="002D69FC" w:rsidP="002D69FC">
      <w:pPr>
        <w:pStyle w:val="Bibliography"/>
        <w:rPr>
          <w:lang w:val="en-US"/>
        </w:rPr>
      </w:pPr>
      <w:r w:rsidRPr="002D69FC">
        <w:rPr>
          <w:lang w:val="en-US"/>
        </w:rPr>
        <w:t xml:space="preserve">Brandts, J., and Charness, G. (2011). The strategy versus the direct-response method: a first survey of experimental comparisons. Exp. Econ. </w:t>
      </w:r>
      <w:r w:rsidRPr="002D69FC">
        <w:rPr>
          <w:i/>
          <w:iCs/>
          <w:lang w:val="en-US"/>
        </w:rPr>
        <w:t>14</w:t>
      </w:r>
      <w:r w:rsidRPr="002D69FC">
        <w:rPr>
          <w:lang w:val="en-US"/>
        </w:rPr>
        <w:t>, 375–398.</w:t>
      </w:r>
    </w:p>
    <w:p w14:paraId="30A7316D" w14:textId="724C8479" w:rsidR="002E5CCB" w:rsidRPr="002E5CCB" w:rsidRDefault="002E5CCB" w:rsidP="002E5CCB">
      <w:pPr>
        <w:pStyle w:val="Bibliography"/>
        <w:rPr>
          <w:rFonts w:ascii="Calibri" w:cs="Calibri"/>
          <w:lang w:val="en-US"/>
        </w:rPr>
      </w:pPr>
      <w:r w:rsidRPr="00395EFC">
        <w:rPr>
          <w:rFonts w:ascii="Calibri" w:cs="Calibri"/>
          <w:lang w:val="en-US"/>
        </w:rPr>
        <w:t xml:space="preserve">Burnham, K.P., Anderson, D.R., and </w:t>
      </w:r>
      <w:proofErr w:type="spellStart"/>
      <w:r w:rsidRPr="00395EFC">
        <w:rPr>
          <w:rFonts w:ascii="Calibri" w:cs="Calibri"/>
          <w:lang w:val="en-US"/>
        </w:rPr>
        <w:t>Huyvaert</w:t>
      </w:r>
      <w:proofErr w:type="spellEnd"/>
      <w:r w:rsidRPr="00395EFC">
        <w:rPr>
          <w:rFonts w:ascii="Calibri" w:cs="Calibri"/>
          <w:lang w:val="en-US"/>
        </w:rPr>
        <w:t xml:space="preserve">, K.P. (2011). AIC model selection and </w:t>
      </w:r>
      <w:proofErr w:type="spellStart"/>
      <w:r w:rsidRPr="00395EFC">
        <w:rPr>
          <w:rFonts w:ascii="Calibri" w:cs="Calibri"/>
          <w:lang w:val="en-US"/>
        </w:rPr>
        <w:t>multimodel</w:t>
      </w:r>
      <w:proofErr w:type="spellEnd"/>
      <w:r w:rsidRPr="00395EFC">
        <w:rPr>
          <w:rFonts w:ascii="Calibri" w:cs="Calibri"/>
          <w:lang w:val="en-US"/>
        </w:rPr>
        <w:t xml:space="preserve"> inference in behavioral ecology: some background, observations, and comparisons. </w:t>
      </w:r>
      <w:proofErr w:type="spellStart"/>
      <w:r w:rsidRPr="00395EFC">
        <w:rPr>
          <w:rFonts w:ascii="Calibri" w:cs="Calibri"/>
          <w:lang w:val="en-US"/>
        </w:rPr>
        <w:t>Behav</w:t>
      </w:r>
      <w:proofErr w:type="spellEnd"/>
      <w:r w:rsidRPr="00395EFC">
        <w:rPr>
          <w:rFonts w:ascii="Calibri" w:cs="Calibri"/>
          <w:lang w:val="en-US"/>
        </w:rPr>
        <w:t xml:space="preserve"> </w:t>
      </w:r>
      <w:proofErr w:type="spellStart"/>
      <w:r w:rsidRPr="00395EFC">
        <w:rPr>
          <w:rFonts w:ascii="Calibri" w:cs="Calibri"/>
          <w:lang w:val="en-US"/>
        </w:rPr>
        <w:t>Ecol</w:t>
      </w:r>
      <w:proofErr w:type="spellEnd"/>
      <w:r w:rsidRPr="00395EFC">
        <w:rPr>
          <w:rFonts w:ascii="Calibri" w:cs="Calibri"/>
          <w:lang w:val="en-US"/>
        </w:rPr>
        <w:t xml:space="preserve"> </w:t>
      </w:r>
      <w:proofErr w:type="spellStart"/>
      <w:r w:rsidRPr="00395EFC">
        <w:rPr>
          <w:rFonts w:ascii="Calibri" w:cs="Calibri"/>
          <w:lang w:val="en-US"/>
        </w:rPr>
        <w:t>Sociobiol</w:t>
      </w:r>
      <w:proofErr w:type="spellEnd"/>
      <w:r w:rsidRPr="00395EFC">
        <w:rPr>
          <w:rFonts w:ascii="Calibri" w:cs="Calibri"/>
          <w:lang w:val="en-US"/>
        </w:rPr>
        <w:t xml:space="preserve"> </w:t>
      </w:r>
      <w:r w:rsidRPr="00395EFC">
        <w:rPr>
          <w:rFonts w:ascii="Calibri" w:cs="Calibri"/>
          <w:i/>
          <w:iCs/>
          <w:lang w:val="en-US"/>
        </w:rPr>
        <w:t>65</w:t>
      </w:r>
      <w:r w:rsidRPr="00395EFC">
        <w:rPr>
          <w:rFonts w:ascii="Calibri" w:cs="Calibri"/>
          <w:lang w:val="en-US"/>
        </w:rPr>
        <w:t>, 23–35.</w:t>
      </w:r>
    </w:p>
    <w:p w14:paraId="7AED2418" w14:textId="77777777" w:rsidR="002E5CCB" w:rsidRPr="002E5CCB" w:rsidRDefault="002E5CCB" w:rsidP="002E5CCB">
      <w:pPr>
        <w:rPr>
          <w:lang w:val="en-US"/>
        </w:rPr>
      </w:pPr>
    </w:p>
    <w:p w14:paraId="347ADF2F" w14:textId="77777777" w:rsidR="002D69FC" w:rsidRPr="002D69FC" w:rsidRDefault="002D69FC" w:rsidP="002D69FC">
      <w:pPr>
        <w:pStyle w:val="Bibliography"/>
        <w:rPr>
          <w:lang w:val="en-US"/>
        </w:rPr>
      </w:pPr>
      <w:r w:rsidRPr="002D69FC">
        <w:rPr>
          <w:lang w:val="en-US"/>
        </w:rPr>
        <w:t xml:space="preserve">Carver, C.S., Johnson, S.L., McCullough, M.E., Forster, D.E., and Joormann, J. (2014). Adulthood personality correlates of childhood adversity. Front. Psychol. </w:t>
      </w:r>
      <w:r w:rsidRPr="002D69FC">
        <w:rPr>
          <w:i/>
          <w:iCs/>
          <w:lang w:val="en-US"/>
        </w:rPr>
        <w:t>5</w:t>
      </w:r>
      <w:r w:rsidRPr="002D69FC">
        <w:rPr>
          <w:lang w:val="en-US"/>
        </w:rPr>
        <w:t>.</w:t>
      </w:r>
    </w:p>
    <w:p w14:paraId="68D0CE5C" w14:textId="76FBEBF2" w:rsidR="002D69FC" w:rsidRDefault="002D69FC" w:rsidP="002D69FC">
      <w:pPr>
        <w:pStyle w:val="Bibliography"/>
        <w:rPr>
          <w:lang w:val="en-US"/>
        </w:rPr>
      </w:pPr>
      <w:r w:rsidRPr="002D69FC">
        <w:rPr>
          <w:lang w:val="en-US"/>
        </w:rPr>
        <w:t xml:space="preserve">Catone, G., Marwaha, S., Kuipers, E., and Lennox, B. (2015). Bullying victimisation and risk of psychotic phenomena: analyses of British national survey data. Lancet Psychiatry </w:t>
      </w:r>
      <w:r w:rsidRPr="002D69FC">
        <w:rPr>
          <w:i/>
          <w:iCs/>
          <w:lang w:val="en-US"/>
        </w:rPr>
        <w:t>2</w:t>
      </w:r>
      <w:r w:rsidRPr="002D69FC">
        <w:rPr>
          <w:lang w:val="en-US"/>
        </w:rPr>
        <w:t>, 618–624.</w:t>
      </w:r>
    </w:p>
    <w:p w14:paraId="47323410" w14:textId="77777777" w:rsidR="002E5CCB" w:rsidRPr="00395EFC" w:rsidRDefault="002E5CCB" w:rsidP="002E5CCB">
      <w:pPr>
        <w:pStyle w:val="Bibliography"/>
        <w:rPr>
          <w:rFonts w:ascii="Calibri" w:cs="Calibri"/>
          <w:lang w:val="en-US"/>
        </w:rPr>
      </w:pPr>
      <w:r w:rsidRPr="00395EFC">
        <w:rPr>
          <w:rFonts w:ascii="Calibri" w:cs="Calibri"/>
          <w:lang w:val="en-US"/>
        </w:rPr>
        <w:t xml:space="preserve">Chester, D.S. (2017). The Role of Positive Affect in Aggression. </w:t>
      </w:r>
      <w:proofErr w:type="spellStart"/>
      <w:r w:rsidRPr="00395EFC">
        <w:rPr>
          <w:rFonts w:ascii="Calibri" w:cs="Calibri"/>
          <w:lang w:val="en-US"/>
        </w:rPr>
        <w:t>Curr</w:t>
      </w:r>
      <w:proofErr w:type="spellEnd"/>
      <w:r w:rsidRPr="00395EFC">
        <w:rPr>
          <w:rFonts w:ascii="Calibri" w:cs="Calibri"/>
          <w:lang w:val="en-US"/>
        </w:rPr>
        <w:t xml:space="preserve"> Dir </w:t>
      </w:r>
      <w:proofErr w:type="spellStart"/>
      <w:r w:rsidRPr="00395EFC">
        <w:rPr>
          <w:rFonts w:ascii="Calibri" w:cs="Calibri"/>
          <w:lang w:val="en-US"/>
        </w:rPr>
        <w:t>Psychol</w:t>
      </w:r>
      <w:proofErr w:type="spellEnd"/>
      <w:r w:rsidRPr="00395EFC">
        <w:rPr>
          <w:rFonts w:ascii="Calibri" w:cs="Calibri"/>
          <w:lang w:val="en-US"/>
        </w:rPr>
        <w:t xml:space="preserve"> Sci </w:t>
      </w:r>
      <w:r w:rsidRPr="00395EFC">
        <w:rPr>
          <w:rFonts w:ascii="Calibri" w:cs="Calibri"/>
          <w:i/>
          <w:iCs/>
          <w:lang w:val="en-US"/>
        </w:rPr>
        <w:t>26</w:t>
      </w:r>
      <w:r w:rsidRPr="00395EFC">
        <w:rPr>
          <w:rFonts w:ascii="Calibri" w:cs="Calibri"/>
          <w:lang w:val="en-US"/>
        </w:rPr>
        <w:t>, 366–370.</w:t>
      </w:r>
    </w:p>
    <w:p w14:paraId="3997A571" w14:textId="77777777" w:rsidR="002E5CCB" w:rsidRPr="002E5CCB" w:rsidRDefault="002E5CCB" w:rsidP="002E5CCB">
      <w:pPr>
        <w:rPr>
          <w:lang w:val="en-US"/>
        </w:rPr>
      </w:pPr>
    </w:p>
    <w:p w14:paraId="2D8999C8" w14:textId="77777777" w:rsidR="002D69FC" w:rsidRPr="002D69FC" w:rsidRDefault="002D69FC" w:rsidP="002D69FC">
      <w:pPr>
        <w:pStyle w:val="Bibliography"/>
        <w:rPr>
          <w:lang w:val="en-US"/>
        </w:rPr>
      </w:pPr>
      <w:r w:rsidRPr="002D69FC">
        <w:rPr>
          <w:lang w:val="en-US"/>
        </w:rPr>
        <w:t>Christensen, R.H.B. (2018). ordinal: Regression Models for Ordinal Data.</w:t>
      </w:r>
    </w:p>
    <w:p w14:paraId="12DD58E3" w14:textId="77777777" w:rsidR="002D69FC" w:rsidRPr="002D69FC" w:rsidRDefault="002D69FC" w:rsidP="002D69FC">
      <w:pPr>
        <w:pStyle w:val="Bibliography"/>
        <w:rPr>
          <w:lang w:val="en-US"/>
        </w:rPr>
      </w:pPr>
      <w:r w:rsidRPr="002D69FC">
        <w:rPr>
          <w:lang w:val="en-US"/>
        </w:rPr>
        <w:lastRenderedPageBreak/>
        <w:t xml:space="preserve">Combs, D.R., Penn, D.L., Cassisi, J., Michael, C., Wood, T., Wanner, J., and Adams, S. (2006). Perceived Racism as a Predictor of Paranoia Among African Americans. J. Black Psychol. </w:t>
      </w:r>
      <w:r w:rsidRPr="002D69FC">
        <w:rPr>
          <w:i/>
          <w:iCs/>
          <w:lang w:val="en-US"/>
        </w:rPr>
        <w:t>32</w:t>
      </w:r>
      <w:r w:rsidRPr="002D69FC">
        <w:rPr>
          <w:lang w:val="en-US"/>
        </w:rPr>
        <w:t>, 87–104.</w:t>
      </w:r>
    </w:p>
    <w:p w14:paraId="50A7BE07" w14:textId="77777777" w:rsidR="002D69FC" w:rsidRPr="002D69FC" w:rsidRDefault="002D69FC" w:rsidP="002D69FC">
      <w:pPr>
        <w:pStyle w:val="Bibliography"/>
        <w:rPr>
          <w:lang w:val="en-US"/>
        </w:rPr>
      </w:pPr>
      <w:r w:rsidRPr="002D69FC">
        <w:rPr>
          <w:lang w:val="en-US"/>
        </w:rPr>
        <w:t xml:space="preserve">Cushman, F.A., Dreber, A., Wang, Y., and Costa, J. (2009). Accidental Outcomes Guide Punishment in a “Trembling Hand” Game. PLoS ONE </w:t>
      </w:r>
      <w:r w:rsidRPr="002D69FC">
        <w:rPr>
          <w:i/>
          <w:iCs/>
          <w:lang w:val="en-US"/>
        </w:rPr>
        <w:t>4</w:t>
      </w:r>
      <w:r w:rsidRPr="002D69FC">
        <w:rPr>
          <w:lang w:val="en-US"/>
        </w:rPr>
        <w:t>, e6699.</w:t>
      </w:r>
    </w:p>
    <w:p w14:paraId="4E31E9E9" w14:textId="77777777" w:rsidR="002D69FC" w:rsidRPr="002D69FC" w:rsidRDefault="002D69FC" w:rsidP="002D69FC">
      <w:pPr>
        <w:pStyle w:val="Bibliography"/>
        <w:rPr>
          <w:lang w:val="en-US"/>
        </w:rPr>
      </w:pPr>
      <w:r w:rsidRPr="002D69FC">
        <w:rPr>
          <w:lang w:val="en-US"/>
        </w:rPr>
        <w:t xml:space="preserve">Cutler, J., and Campbell-Meiklejohn, D. (2019). A comparative fMRI meta-analysis of altruistic and strategic decisions to give. NeuroImage </w:t>
      </w:r>
      <w:r w:rsidRPr="002D69FC">
        <w:rPr>
          <w:i/>
          <w:iCs/>
          <w:lang w:val="en-US"/>
        </w:rPr>
        <w:t>184</w:t>
      </w:r>
      <w:r w:rsidRPr="002D69FC">
        <w:rPr>
          <w:lang w:val="en-US"/>
        </w:rPr>
        <w:t>, 227–241.</w:t>
      </w:r>
    </w:p>
    <w:p w14:paraId="5D79DCD8" w14:textId="77777777" w:rsidR="002E5CCB" w:rsidRDefault="002D69FC" w:rsidP="002D69FC">
      <w:pPr>
        <w:pStyle w:val="Bibliography"/>
        <w:rPr>
          <w:lang w:val="en-US"/>
        </w:rPr>
      </w:pPr>
      <w:r w:rsidRPr="002D69FC">
        <w:rPr>
          <w:lang w:val="en-US"/>
        </w:rPr>
        <w:t xml:space="preserve">Diaconescu, A.O., Hauke, D.J., and Borgwardt, S. (2019). Models of persecutory delusions: a mechanistic insight into the early stages of psychosis. Mol. Psychiatry </w:t>
      </w:r>
      <w:r w:rsidRPr="002D69FC">
        <w:rPr>
          <w:i/>
          <w:iCs/>
          <w:lang w:val="en-US"/>
        </w:rPr>
        <w:t>24</w:t>
      </w:r>
      <w:r w:rsidRPr="002D69FC">
        <w:rPr>
          <w:lang w:val="en-US"/>
        </w:rPr>
        <w:t>, 1258–1267.</w:t>
      </w:r>
    </w:p>
    <w:p w14:paraId="2E6BE371" w14:textId="626422DE" w:rsidR="002E5CCB" w:rsidRPr="002E5CCB" w:rsidRDefault="002E5CCB" w:rsidP="002D69FC">
      <w:pPr>
        <w:pStyle w:val="Bibliography"/>
        <w:rPr>
          <w:rFonts w:ascii="Calibri" w:cs="Calibri"/>
          <w:lang w:val="en-US"/>
        </w:rPr>
      </w:pPr>
      <w:proofErr w:type="spellStart"/>
      <w:r w:rsidRPr="00395EFC">
        <w:rPr>
          <w:rFonts w:ascii="Calibri" w:cs="Calibri"/>
          <w:lang w:val="en-US"/>
        </w:rPr>
        <w:t>Dodell</w:t>
      </w:r>
      <w:proofErr w:type="spellEnd"/>
      <w:r w:rsidRPr="00395EFC">
        <w:rPr>
          <w:rFonts w:ascii="Calibri" w:cs="Calibri"/>
          <w:lang w:val="en-US"/>
        </w:rPr>
        <w:t xml:space="preserve">-Feder, D., Tully, L.M., Lincoln, S.H., and Hooker, C.I. (2014). The neural basis of theory of mind and its relationship to social functioning and social anhedonia in individuals with schizophrenia. </w:t>
      </w:r>
      <w:proofErr w:type="spellStart"/>
      <w:r w:rsidRPr="00395EFC">
        <w:rPr>
          <w:rFonts w:ascii="Calibri" w:cs="Calibri"/>
          <w:lang w:val="en-US"/>
        </w:rPr>
        <w:t>NeuroImage</w:t>
      </w:r>
      <w:proofErr w:type="spellEnd"/>
      <w:r w:rsidRPr="00395EFC">
        <w:rPr>
          <w:rFonts w:ascii="Calibri" w:cs="Calibri"/>
          <w:lang w:val="en-US"/>
        </w:rPr>
        <w:t xml:space="preserve">: Clinical </w:t>
      </w:r>
      <w:r w:rsidRPr="00395EFC">
        <w:rPr>
          <w:rFonts w:ascii="Calibri" w:cs="Calibri"/>
          <w:i/>
          <w:iCs/>
          <w:lang w:val="en-US"/>
        </w:rPr>
        <w:t>4</w:t>
      </w:r>
      <w:r w:rsidRPr="00395EFC">
        <w:rPr>
          <w:rFonts w:ascii="Calibri" w:cs="Calibri"/>
          <w:lang w:val="en-US"/>
        </w:rPr>
        <w:t>, 154–163.</w:t>
      </w:r>
    </w:p>
    <w:p w14:paraId="2695D96E" w14:textId="1805B7E1" w:rsidR="002D69FC" w:rsidRPr="002D69FC" w:rsidRDefault="002D69FC" w:rsidP="002D69FC">
      <w:pPr>
        <w:pStyle w:val="Bibliography"/>
        <w:rPr>
          <w:lang w:val="en-US"/>
        </w:rPr>
      </w:pPr>
      <w:proofErr w:type="spellStart"/>
      <w:r w:rsidRPr="002D69FC">
        <w:rPr>
          <w:lang w:val="en-US"/>
        </w:rPr>
        <w:t>Dudeck</w:t>
      </w:r>
      <w:proofErr w:type="spellEnd"/>
      <w:r w:rsidRPr="002D69FC">
        <w:rPr>
          <w:lang w:val="en-US"/>
        </w:rPr>
        <w:t xml:space="preserve">, M., Sosic-Vasic, Z., Otte, S., Rasche, K., Leichauer, K., Tippelt, S., Shenar, R., Klingner, S., Vasic, N., and Streb, J. (2016). The association of adverse childhood experiences and appetitive aggression with suicide attempts and violent crimes in male forensic psychiatry inpatients. Psychiatry Res. </w:t>
      </w:r>
      <w:r w:rsidRPr="002D69FC">
        <w:rPr>
          <w:i/>
          <w:iCs/>
          <w:lang w:val="en-US"/>
        </w:rPr>
        <w:t>240</w:t>
      </w:r>
      <w:r w:rsidRPr="002D69FC">
        <w:rPr>
          <w:lang w:val="en-US"/>
        </w:rPr>
        <w:t>, 352–357.</w:t>
      </w:r>
    </w:p>
    <w:p w14:paraId="5DC312D2" w14:textId="77777777" w:rsidR="002D69FC" w:rsidRPr="002D69FC" w:rsidRDefault="002D69FC" w:rsidP="002D69FC">
      <w:pPr>
        <w:pStyle w:val="Bibliography"/>
        <w:rPr>
          <w:lang w:val="en-US"/>
        </w:rPr>
      </w:pPr>
      <w:r w:rsidRPr="002D69FC">
        <w:rPr>
          <w:lang w:val="en-US"/>
        </w:rPr>
        <w:t xml:space="preserve">Edens, J.F., Marcus, D.K., and Morey, L.C. (2009). Paranoid personality has a dimensional latent structure: Taxometric analyses of community and clinical samples. J. Abnorm. Psychol. </w:t>
      </w:r>
      <w:r w:rsidRPr="002D69FC">
        <w:rPr>
          <w:i/>
          <w:iCs/>
          <w:lang w:val="en-US"/>
        </w:rPr>
        <w:t>118</w:t>
      </w:r>
      <w:r w:rsidRPr="002D69FC">
        <w:rPr>
          <w:lang w:val="en-US"/>
        </w:rPr>
        <w:t>, 545–553.</w:t>
      </w:r>
    </w:p>
    <w:p w14:paraId="1FB5F588" w14:textId="77777777" w:rsidR="002D69FC" w:rsidRPr="002D69FC" w:rsidRDefault="002D69FC" w:rsidP="002D69FC">
      <w:pPr>
        <w:pStyle w:val="Bibliography"/>
        <w:rPr>
          <w:lang w:val="en-US"/>
        </w:rPr>
      </w:pPr>
      <w:r w:rsidRPr="002D69FC">
        <w:rPr>
          <w:lang w:val="en-US"/>
        </w:rPr>
        <w:t xml:space="preserve">Elahi, A., Perez Algorta, G., Varese, F., McIntyre, J.C., and Bentall, R.P. (2017). Do paranoid delusions exist on a continuum with subclinical paranoia? A multi-method taxometric study. Schizophr. Res. </w:t>
      </w:r>
      <w:r w:rsidRPr="002D69FC">
        <w:rPr>
          <w:i/>
          <w:iCs/>
          <w:lang w:val="en-US"/>
        </w:rPr>
        <w:t>190</w:t>
      </w:r>
      <w:r w:rsidRPr="002D69FC">
        <w:rPr>
          <w:lang w:val="en-US"/>
        </w:rPr>
        <w:t>, 77–81.</w:t>
      </w:r>
    </w:p>
    <w:p w14:paraId="229923D2" w14:textId="77777777" w:rsidR="002D69FC" w:rsidRPr="002D69FC" w:rsidRDefault="002D69FC" w:rsidP="002D69FC">
      <w:pPr>
        <w:pStyle w:val="Bibliography"/>
        <w:rPr>
          <w:lang w:val="en-US"/>
        </w:rPr>
      </w:pPr>
      <w:r w:rsidRPr="002D69FC">
        <w:rPr>
          <w:lang w:val="en-US"/>
        </w:rPr>
        <w:t xml:space="preserve">Ellett, L., Allen-Crooks, R., Stevens, A., and Wildschut, T. (2013). A paradigm for the study of paranoia in the general population: The Prisoner’s Dilemma Game. Cogn. Emot. </w:t>
      </w:r>
      <w:r w:rsidRPr="002D69FC">
        <w:rPr>
          <w:i/>
          <w:iCs/>
          <w:lang w:val="en-US"/>
        </w:rPr>
        <w:t>27</w:t>
      </w:r>
      <w:r w:rsidRPr="002D69FC">
        <w:rPr>
          <w:lang w:val="en-US"/>
        </w:rPr>
        <w:t>, 53–62.</w:t>
      </w:r>
    </w:p>
    <w:p w14:paraId="67FFF8B7" w14:textId="77777777" w:rsidR="002D69FC" w:rsidRPr="002D69FC" w:rsidRDefault="002D69FC" w:rsidP="002D69FC">
      <w:pPr>
        <w:pStyle w:val="Bibliography"/>
        <w:rPr>
          <w:lang w:val="en-US"/>
        </w:rPr>
      </w:pPr>
      <w:r w:rsidRPr="002D69FC">
        <w:rPr>
          <w:lang w:val="en-US"/>
        </w:rPr>
        <w:t xml:space="preserve">Fett, A., Shergill, S.S., Joyce, D.W., Riedl, A., and Strobel, M. (2012). To trust or not to trust: the dynamics of social interaction in psychosis. Brain </w:t>
      </w:r>
      <w:r w:rsidRPr="002D69FC">
        <w:rPr>
          <w:i/>
          <w:iCs/>
          <w:lang w:val="en-US"/>
        </w:rPr>
        <w:t>135</w:t>
      </w:r>
      <w:r w:rsidRPr="002D69FC">
        <w:rPr>
          <w:lang w:val="en-US"/>
        </w:rPr>
        <w:t>, 976–984.</w:t>
      </w:r>
    </w:p>
    <w:p w14:paraId="61F584FB" w14:textId="77777777" w:rsidR="002D69FC" w:rsidRPr="002D69FC" w:rsidRDefault="002D69FC" w:rsidP="002D69FC">
      <w:pPr>
        <w:pStyle w:val="Bibliography"/>
        <w:rPr>
          <w:lang w:val="en-US"/>
        </w:rPr>
      </w:pPr>
      <w:r w:rsidRPr="002D69FC">
        <w:rPr>
          <w:lang w:val="en-US"/>
        </w:rPr>
        <w:t xml:space="preserve">Fett, A.-K.J., Mouchlianitis, E., Gromann, P.M., Vanes, L., Shergill, S.S., and Krabbendam, L. (2019). The neural mechanisms of social reward in early psychosis. Soc. Cogn. Affect. Neurosci. </w:t>
      </w:r>
      <w:r w:rsidRPr="002D69FC">
        <w:rPr>
          <w:i/>
          <w:iCs/>
          <w:lang w:val="en-US"/>
        </w:rPr>
        <w:t>14</w:t>
      </w:r>
      <w:r w:rsidRPr="002D69FC">
        <w:rPr>
          <w:lang w:val="en-US"/>
        </w:rPr>
        <w:t>, 861–870.</w:t>
      </w:r>
    </w:p>
    <w:p w14:paraId="22FB7EBB" w14:textId="77777777" w:rsidR="002D69FC" w:rsidRPr="002D69FC" w:rsidRDefault="002D69FC" w:rsidP="002D69FC">
      <w:pPr>
        <w:pStyle w:val="Bibliography"/>
        <w:rPr>
          <w:lang w:val="en-US"/>
        </w:rPr>
      </w:pPr>
      <w:r w:rsidRPr="002D69FC">
        <w:rPr>
          <w:lang w:val="en-US"/>
        </w:rPr>
        <w:t>Fischbacher, U., Gachter, S., and Quercia, S. (2012). The behavioral validity of the strategy method in public good experiments.</w:t>
      </w:r>
    </w:p>
    <w:p w14:paraId="253994D7" w14:textId="5449F229" w:rsidR="002D69FC" w:rsidRDefault="002D69FC" w:rsidP="002D69FC">
      <w:pPr>
        <w:pStyle w:val="Bibliography"/>
        <w:rPr>
          <w:lang w:val="en-US"/>
        </w:rPr>
      </w:pPr>
      <w:r w:rsidRPr="002D69FC">
        <w:rPr>
          <w:lang w:val="en-US"/>
        </w:rPr>
        <w:t xml:space="preserve">Foulkes, L., Viding, E., and McCrory, E. (2014). Social Reward Questionnaire (SRQ): development and validation. Front. Psychol. </w:t>
      </w:r>
      <w:r w:rsidRPr="002D69FC">
        <w:rPr>
          <w:i/>
          <w:iCs/>
          <w:lang w:val="en-US"/>
        </w:rPr>
        <w:t>5</w:t>
      </w:r>
      <w:r w:rsidRPr="002D69FC">
        <w:rPr>
          <w:lang w:val="en-US"/>
        </w:rPr>
        <w:t>, 289.</w:t>
      </w:r>
    </w:p>
    <w:p w14:paraId="20BC4A25" w14:textId="77777777" w:rsidR="002E5CCB" w:rsidRPr="00395EFC" w:rsidRDefault="002E5CCB" w:rsidP="002E5CCB">
      <w:pPr>
        <w:pStyle w:val="Bibliography"/>
        <w:rPr>
          <w:rFonts w:ascii="Calibri" w:cs="Calibri"/>
          <w:lang w:val="en-US"/>
        </w:rPr>
      </w:pPr>
      <w:r w:rsidRPr="00395EFC">
        <w:rPr>
          <w:rFonts w:ascii="Calibri" w:cs="Calibri"/>
          <w:lang w:val="en-US"/>
        </w:rPr>
        <w:t xml:space="preserve">Foulkes, L. (2019). Sadism: Review of an elusive construct. Personality and Individual Differences </w:t>
      </w:r>
      <w:r w:rsidRPr="00395EFC">
        <w:rPr>
          <w:rFonts w:ascii="Calibri" w:cs="Calibri"/>
          <w:i/>
          <w:iCs/>
          <w:lang w:val="en-US"/>
        </w:rPr>
        <w:t>151</w:t>
      </w:r>
      <w:r w:rsidRPr="00395EFC">
        <w:rPr>
          <w:rFonts w:ascii="Calibri" w:cs="Calibri"/>
          <w:lang w:val="en-US"/>
        </w:rPr>
        <w:t>, 109500.</w:t>
      </w:r>
    </w:p>
    <w:p w14:paraId="33DBE896" w14:textId="77777777" w:rsidR="002E5CCB" w:rsidRPr="002E5CCB" w:rsidRDefault="002E5CCB" w:rsidP="002E5CCB">
      <w:pPr>
        <w:rPr>
          <w:lang w:val="en-US"/>
        </w:rPr>
      </w:pPr>
    </w:p>
    <w:p w14:paraId="2D0FCBD5" w14:textId="77777777" w:rsidR="002D69FC" w:rsidRPr="002D69FC" w:rsidRDefault="002D69FC" w:rsidP="002D69FC">
      <w:pPr>
        <w:pStyle w:val="Bibliography"/>
        <w:rPr>
          <w:lang w:val="en-US"/>
        </w:rPr>
      </w:pPr>
      <w:r w:rsidRPr="002D69FC">
        <w:rPr>
          <w:lang w:val="en-US"/>
        </w:rPr>
        <w:lastRenderedPageBreak/>
        <w:t xml:space="preserve">Freeman, P.D. (2016). Persecutory delusions: a cognitive perspective on understanding and treatment. Lancet Psychiatry </w:t>
      </w:r>
      <w:r w:rsidRPr="002D69FC">
        <w:rPr>
          <w:i/>
          <w:iCs/>
          <w:lang w:val="en-US"/>
        </w:rPr>
        <w:t>3</w:t>
      </w:r>
      <w:r w:rsidRPr="002D69FC">
        <w:rPr>
          <w:lang w:val="en-US"/>
        </w:rPr>
        <w:t>, 685–692.</w:t>
      </w:r>
    </w:p>
    <w:p w14:paraId="520B680B" w14:textId="56B71ED7" w:rsidR="002D69FC" w:rsidRDefault="002D69FC" w:rsidP="002D69FC">
      <w:pPr>
        <w:pStyle w:val="Bibliography"/>
        <w:rPr>
          <w:lang w:val="en-US"/>
        </w:rPr>
      </w:pPr>
      <w:r w:rsidRPr="002D69FC">
        <w:rPr>
          <w:lang w:val="en-US"/>
        </w:rPr>
        <w:t xml:space="preserve">Freeman, D., and Garety, P.A. (2000). Comments on the content of persecutory delusions: Does the definition need clarification? Br. J. Clin. Psychol. </w:t>
      </w:r>
      <w:r w:rsidRPr="002D69FC">
        <w:rPr>
          <w:i/>
          <w:iCs/>
          <w:lang w:val="en-US"/>
        </w:rPr>
        <w:t>39</w:t>
      </w:r>
      <w:r w:rsidRPr="002D69FC">
        <w:rPr>
          <w:lang w:val="en-US"/>
        </w:rPr>
        <w:t>, 407–414.</w:t>
      </w:r>
    </w:p>
    <w:p w14:paraId="4A270D99" w14:textId="5C955304" w:rsidR="002E5CCB" w:rsidRPr="002E5CCB" w:rsidRDefault="002E5CCB" w:rsidP="002E5CCB">
      <w:pPr>
        <w:pStyle w:val="Bibliography"/>
        <w:rPr>
          <w:rFonts w:ascii="Calibri" w:cs="Calibri"/>
          <w:lang w:val="en-US"/>
        </w:rPr>
      </w:pPr>
      <w:r w:rsidRPr="00395EFC">
        <w:rPr>
          <w:rFonts w:ascii="Calibri" w:cs="Calibri"/>
          <w:lang w:val="en-US"/>
        </w:rPr>
        <w:t xml:space="preserve">Freeman, D., and Fowler, D. (2009). Routes to psychotic symptoms: Trauma, anxiety and psychosis-like experiences. Psychiatry Research </w:t>
      </w:r>
      <w:r w:rsidRPr="00395EFC">
        <w:rPr>
          <w:rFonts w:ascii="Calibri" w:cs="Calibri"/>
          <w:i/>
          <w:iCs/>
          <w:lang w:val="en-US"/>
        </w:rPr>
        <w:t>169</w:t>
      </w:r>
      <w:r w:rsidRPr="00395EFC">
        <w:rPr>
          <w:rFonts w:ascii="Calibri" w:cs="Calibri"/>
          <w:lang w:val="en-US"/>
        </w:rPr>
        <w:t>, 107–112.</w:t>
      </w:r>
    </w:p>
    <w:p w14:paraId="1AA35AA5" w14:textId="77777777" w:rsidR="002D69FC" w:rsidRPr="002D69FC" w:rsidRDefault="002D69FC" w:rsidP="002D69FC">
      <w:pPr>
        <w:pStyle w:val="Bibliography"/>
        <w:rPr>
          <w:lang w:val="en-US"/>
        </w:rPr>
      </w:pPr>
      <w:r w:rsidRPr="002D69FC">
        <w:rPr>
          <w:lang w:val="en-US"/>
        </w:rPr>
        <w:t xml:space="preserve">Freeman, D., Garety, P.A., Bebbington, P.E., Smith, B., Rollinson, R., Fowler, D., Kuipers, E., Ray, K., and Dunn, G. (2005). Psychological investigation of the structure of paranoia in a non-clinical population. Br. J. Psychiatry </w:t>
      </w:r>
      <w:r w:rsidRPr="002D69FC">
        <w:rPr>
          <w:i/>
          <w:iCs/>
          <w:lang w:val="en-US"/>
        </w:rPr>
        <w:t>186</w:t>
      </w:r>
      <w:r w:rsidRPr="002D69FC">
        <w:rPr>
          <w:lang w:val="en-US"/>
        </w:rPr>
        <w:t>, 427–435.</w:t>
      </w:r>
    </w:p>
    <w:p w14:paraId="07D92DF5" w14:textId="6CBF69DF" w:rsidR="002D69FC" w:rsidRDefault="002D69FC" w:rsidP="002D69FC">
      <w:pPr>
        <w:pStyle w:val="Bibliography"/>
        <w:rPr>
          <w:lang w:val="en-US"/>
        </w:rPr>
      </w:pPr>
      <w:r w:rsidRPr="002D69FC">
        <w:rPr>
          <w:lang w:val="en-US"/>
        </w:rPr>
        <w:t xml:space="preserve">Gatiso, T.T., Vollan, B., and Nuppenau, E.-A. (2015). Resource scarcity and democratic elections in commons dilemmas: An experiment on forest use in Ethiopia. Ecol. Econ. </w:t>
      </w:r>
      <w:r w:rsidRPr="002D69FC">
        <w:rPr>
          <w:i/>
          <w:iCs/>
          <w:lang w:val="en-US"/>
        </w:rPr>
        <w:t>114</w:t>
      </w:r>
      <w:r w:rsidRPr="002D69FC">
        <w:rPr>
          <w:lang w:val="en-US"/>
        </w:rPr>
        <w:t>, 199–207.</w:t>
      </w:r>
    </w:p>
    <w:p w14:paraId="064D79D0" w14:textId="76995067" w:rsidR="002E5CCB" w:rsidRPr="002E5CCB" w:rsidRDefault="002E5CCB" w:rsidP="002E5CCB">
      <w:pPr>
        <w:pStyle w:val="Bibliography"/>
        <w:rPr>
          <w:rFonts w:ascii="Calibri" w:cs="Calibri"/>
          <w:lang w:val="en-US"/>
        </w:rPr>
      </w:pPr>
      <w:r w:rsidRPr="00395EFC">
        <w:rPr>
          <w:rFonts w:ascii="Calibri" w:cs="Calibri"/>
          <w:lang w:val="en-US"/>
        </w:rPr>
        <w:t xml:space="preserve">Gelman, A. (2008). Scaling regression inputs by dividing by two standard deviations. Statistics in Medicine </w:t>
      </w:r>
      <w:r w:rsidRPr="00395EFC">
        <w:rPr>
          <w:rFonts w:ascii="Calibri" w:cs="Calibri"/>
          <w:i/>
          <w:iCs/>
          <w:lang w:val="en-US"/>
        </w:rPr>
        <w:t>27</w:t>
      </w:r>
      <w:r w:rsidRPr="00395EFC">
        <w:rPr>
          <w:rFonts w:ascii="Calibri" w:cs="Calibri"/>
          <w:lang w:val="en-US"/>
        </w:rPr>
        <w:t>, 2865–2873.</w:t>
      </w:r>
    </w:p>
    <w:p w14:paraId="31C4C474" w14:textId="77777777" w:rsidR="002D69FC" w:rsidRPr="002D69FC" w:rsidRDefault="002D69FC" w:rsidP="002D69FC">
      <w:pPr>
        <w:pStyle w:val="Bibliography"/>
        <w:rPr>
          <w:lang w:val="en-US"/>
        </w:rPr>
      </w:pPr>
      <w:r w:rsidRPr="002D69FC">
        <w:rPr>
          <w:lang w:val="en-US"/>
        </w:rPr>
        <w:t>Gerstenberg, T., Lagnado, D., and Kareev, Y. (2011). The Dice are Cast: The role of intended versus actual contributions in responsibility attribution. 1–6.</w:t>
      </w:r>
    </w:p>
    <w:p w14:paraId="64B175AC" w14:textId="77777777" w:rsidR="002D69FC" w:rsidRPr="002D69FC" w:rsidRDefault="002D69FC" w:rsidP="002D69FC">
      <w:pPr>
        <w:pStyle w:val="Bibliography"/>
        <w:rPr>
          <w:lang w:val="en-US"/>
        </w:rPr>
      </w:pPr>
      <w:r w:rsidRPr="002D69FC">
        <w:rPr>
          <w:lang w:val="en-US"/>
        </w:rPr>
        <w:t xml:space="preserve">Green, C.E.L., Freeman, D., Kuipers, E., Bebbington, P., Fowler, D., Dunn, G., and Garety, P.A. (2008). Measuring ideas of persecution and social reference: the Green et al. Paranoid Thought Scales (GPTS). Psychol. Med. </w:t>
      </w:r>
      <w:r w:rsidRPr="002D69FC">
        <w:rPr>
          <w:i/>
          <w:iCs/>
          <w:lang w:val="en-US"/>
        </w:rPr>
        <w:t>38</w:t>
      </w:r>
      <w:r w:rsidRPr="002D69FC">
        <w:rPr>
          <w:lang w:val="en-US"/>
        </w:rPr>
        <w:t>.</w:t>
      </w:r>
    </w:p>
    <w:p w14:paraId="06FC3808" w14:textId="77777777" w:rsidR="002D69FC" w:rsidRPr="002D69FC" w:rsidRDefault="002D69FC" w:rsidP="002D69FC">
      <w:pPr>
        <w:pStyle w:val="Bibliography"/>
        <w:rPr>
          <w:lang w:val="en-US"/>
        </w:rPr>
      </w:pPr>
      <w:r w:rsidRPr="002D69FC">
        <w:rPr>
          <w:lang w:val="en-US"/>
        </w:rPr>
        <w:t xml:space="preserve">Greenburgh, A., Bell, V., and Raihani, N.J. (2019). Paranoia and conspiracy: group cohesion increases harmful intent attribution in the Trust Game. PeerJ </w:t>
      </w:r>
      <w:r w:rsidRPr="002D69FC">
        <w:rPr>
          <w:i/>
          <w:iCs/>
          <w:lang w:val="en-US"/>
        </w:rPr>
        <w:t>7</w:t>
      </w:r>
      <w:r w:rsidRPr="002D69FC">
        <w:rPr>
          <w:lang w:val="en-US"/>
        </w:rPr>
        <w:t>, e7403.</w:t>
      </w:r>
    </w:p>
    <w:p w14:paraId="14FE37A4" w14:textId="77777777" w:rsidR="002D69FC" w:rsidRPr="002D69FC" w:rsidRDefault="002D69FC" w:rsidP="002D69FC">
      <w:pPr>
        <w:pStyle w:val="Bibliography"/>
        <w:rPr>
          <w:lang w:val="en-US"/>
        </w:rPr>
      </w:pPr>
      <w:r w:rsidRPr="002D69FC">
        <w:rPr>
          <w:lang w:val="en-US"/>
        </w:rPr>
        <w:t xml:space="preserve">Gromann, P.M., Heslenfeld, D.J., Fett, A.-K., Joyce, D.W., Shergill, S.S., and Krabbendam, L. (2013). Trust versus paranoia: abnormal response to social reward in psychotic illness. Brain </w:t>
      </w:r>
      <w:r w:rsidRPr="002D69FC">
        <w:rPr>
          <w:i/>
          <w:iCs/>
          <w:lang w:val="en-US"/>
        </w:rPr>
        <w:t>136</w:t>
      </w:r>
      <w:r w:rsidRPr="002D69FC">
        <w:rPr>
          <w:lang w:val="en-US"/>
        </w:rPr>
        <w:t>, 1968–1975.</w:t>
      </w:r>
    </w:p>
    <w:p w14:paraId="77A952E9" w14:textId="417F9310" w:rsidR="002D69FC" w:rsidRDefault="002D69FC" w:rsidP="002D69FC">
      <w:pPr>
        <w:pStyle w:val="Bibliography"/>
        <w:rPr>
          <w:lang w:val="en-US"/>
        </w:rPr>
      </w:pPr>
      <w:r w:rsidRPr="002D69FC">
        <w:rPr>
          <w:lang w:val="en-US"/>
        </w:rPr>
        <w:t xml:space="preserve">Gromann, P.M., Shergill, S.S., de Haan, L., Meewis, D.G.J., Fett, A.-K.J., Korver-Nieberg, N., and Krabbendam, L. (2014). Reduced brain reward response during cooperation in first-degree relatives of patients with psychosis: an fMRI study. Psychol. Med. </w:t>
      </w:r>
      <w:r w:rsidRPr="002D69FC">
        <w:rPr>
          <w:i/>
          <w:iCs/>
          <w:lang w:val="en-US"/>
        </w:rPr>
        <w:t>44</w:t>
      </w:r>
      <w:r w:rsidRPr="002D69FC">
        <w:rPr>
          <w:lang w:val="en-US"/>
        </w:rPr>
        <w:t>, 3445–3454.</w:t>
      </w:r>
    </w:p>
    <w:p w14:paraId="56399AD0" w14:textId="2218CDC5" w:rsidR="002E5CCB" w:rsidRDefault="002E5CCB" w:rsidP="002E5CCB">
      <w:pPr>
        <w:rPr>
          <w:rFonts w:ascii="Calibri" w:cs="Calibri"/>
          <w:lang w:val="en-US"/>
        </w:rPr>
      </w:pPr>
      <w:proofErr w:type="spellStart"/>
      <w:r w:rsidRPr="00395EFC">
        <w:rPr>
          <w:rFonts w:ascii="Calibri" w:cs="Calibri"/>
          <w:lang w:val="en-US"/>
        </w:rPr>
        <w:t>Grueber</w:t>
      </w:r>
      <w:proofErr w:type="spellEnd"/>
      <w:r w:rsidRPr="00395EFC">
        <w:rPr>
          <w:rFonts w:ascii="Calibri" w:cs="Calibri"/>
          <w:lang w:val="en-US"/>
        </w:rPr>
        <w:t xml:space="preserve">, C.E., Nakagawa, S., LAWS, R.J., and JAMIESON, I.G. (2011). </w:t>
      </w:r>
      <w:proofErr w:type="spellStart"/>
      <w:r w:rsidRPr="00395EFC">
        <w:rPr>
          <w:rFonts w:ascii="Calibri" w:cs="Calibri"/>
          <w:lang w:val="en-US"/>
        </w:rPr>
        <w:t>Multimodel</w:t>
      </w:r>
      <w:proofErr w:type="spellEnd"/>
      <w:r w:rsidRPr="00395EFC">
        <w:rPr>
          <w:rFonts w:ascii="Calibri" w:cs="Calibri"/>
          <w:lang w:val="en-US"/>
        </w:rPr>
        <w:t xml:space="preserve"> inference in ecology and evolution: challenges and solutions. J </w:t>
      </w:r>
      <w:proofErr w:type="spellStart"/>
      <w:r w:rsidRPr="00395EFC">
        <w:rPr>
          <w:rFonts w:ascii="Calibri" w:cs="Calibri"/>
          <w:lang w:val="en-US"/>
        </w:rPr>
        <w:t>Evol</w:t>
      </w:r>
      <w:proofErr w:type="spellEnd"/>
      <w:r w:rsidRPr="00395EFC">
        <w:rPr>
          <w:rFonts w:ascii="Calibri" w:cs="Calibri"/>
          <w:lang w:val="en-US"/>
        </w:rPr>
        <w:t xml:space="preserve"> </w:t>
      </w:r>
      <w:proofErr w:type="spellStart"/>
      <w:r w:rsidRPr="00395EFC">
        <w:rPr>
          <w:rFonts w:ascii="Calibri" w:cs="Calibri"/>
          <w:lang w:val="en-US"/>
        </w:rPr>
        <w:t>Biol</w:t>
      </w:r>
      <w:proofErr w:type="spellEnd"/>
      <w:r w:rsidRPr="00395EFC">
        <w:rPr>
          <w:rFonts w:ascii="Calibri" w:cs="Calibri"/>
          <w:lang w:val="en-US"/>
        </w:rPr>
        <w:t xml:space="preserve"> </w:t>
      </w:r>
      <w:r w:rsidRPr="00395EFC">
        <w:rPr>
          <w:rFonts w:ascii="Calibri" w:cs="Calibri"/>
          <w:i/>
          <w:iCs/>
          <w:lang w:val="en-US"/>
        </w:rPr>
        <w:t>24</w:t>
      </w:r>
      <w:r w:rsidRPr="00395EFC">
        <w:rPr>
          <w:rFonts w:ascii="Calibri" w:cs="Calibri"/>
          <w:lang w:val="en-US"/>
        </w:rPr>
        <w:t>, 699–711.</w:t>
      </w:r>
    </w:p>
    <w:p w14:paraId="2C9ABAF6" w14:textId="318C4859" w:rsidR="002E5CCB" w:rsidRDefault="002E5CCB" w:rsidP="002E5CCB">
      <w:pPr>
        <w:rPr>
          <w:lang w:val="en-US"/>
        </w:rPr>
      </w:pPr>
    </w:p>
    <w:p w14:paraId="6DC0474F" w14:textId="04445160" w:rsidR="00E870FD" w:rsidRPr="00E870FD" w:rsidRDefault="00E870FD" w:rsidP="00E870FD">
      <w:pPr>
        <w:pStyle w:val="Bibliography"/>
        <w:rPr>
          <w:rFonts w:ascii="Calibri" w:cs="Calibri"/>
          <w:lang w:val="en-US"/>
        </w:rPr>
      </w:pPr>
      <w:proofErr w:type="spellStart"/>
      <w:r w:rsidRPr="00395EFC">
        <w:rPr>
          <w:rFonts w:ascii="Calibri" w:cs="Calibri"/>
          <w:lang w:val="en-US"/>
        </w:rPr>
        <w:t>Hanewald</w:t>
      </w:r>
      <w:proofErr w:type="spellEnd"/>
      <w:r w:rsidRPr="00395EFC">
        <w:rPr>
          <w:rFonts w:ascii="Calibri" w:cs="Calibri"/>
          <w:lang w:val="en-US"/>
        </w:rPr>
        <w:t xml:space="preserve">, B., Behrens, F., Gruppe, H., </w:t>
      </w:r>
      <w:proofErr w:type="spellStart"/>
      <w:r w:rsidRPr="00395EFC">
        <w:rPr>
          <w:rFonts w:ascii="Calibri" w:cs="Calibri"/>
          <w:lang w:val="en-US"/>
        </w:rPr>
        <w:t>Sammer</w:t>
      </w:r>
      <w:proofErr w:type="spellEnd"/>
      <w:r w:rsidRPr="00395EFC">
        <w:rPr>
          <w:rFonts w:ascii="Calibri" w:cs="Calibri"/>
          <w:lang w:val="en-US"/>
        </w:rPr>
        <w:t xml:space="preserve">, G., </w:t>
      </w:r>
      <w:proofErr w:type="spellStart"/>
      <w:r w:rsidRPr="00395EFC">
        <w:rPr>
          <w:rFonts w:ascii="Calibri" w:cs="Calibri"/>
          <w:lang w:val="en-US"/>
        </w:rPr>
        <w:t>Gallhofer</w:t>
      </w:r>
      <w:proofErr w:type="spellEnd"/>
      <w:r w:rsidRPr="00395EFC">
        <w:rPr>
          <w:rFonts w:ascii="Calibri" w:cs="Calibri"/>
          <w:lang w:val="en-US"/>
        </w:rPr>
        <w:t xml:space="preserve">, B., </w:t>
      </w:r>
      <w:proofErr w:type="spellStart"/>
      <w:r w:rsidRPr="00395EFC">
        <w:rPr>
          <w:rFonts w:ascii="Calibri" w:cs="Calibri"/>
          <w:lang w:val="en-US"/>
        </w:rPr>
        <w:t>Krach</w:t>
      </w:r>
      <w:proofErr w:type="spellEnd"/>
      <w:r w:rsidRPr="00395EFC">
        <w:rPr>
          <w:rFonts w:ascii="Calibri" w:cs="Calibri"/>
          <w:lang w:val="en-US"/>
        </w:rPr>
        <w:t xml:space="preserve">, S., Paulus, F.M., </w:t>
      </w:r>
      <w:proofErr w:type="spellStart"/>
      <w:r w:rsidRPr="00395EFC">
        <w:rPr>
          <w:rFonts w:ascii="Calibri" w:cs="Calibri"/>
          <w:lang w:val="en-US"/>
        </w:rPr>
        <w:t>Rademacher</w:t>
      </w:r>
      <w:proofErr w:type="spellEnd"/>
      <w:r w:rsidRPr="00395EFC">
        <w:rPr>
          <w:rFonts w:ascii="Calibri" w:cs="Calibri"/>
          <w:lang w:val="en-US"/>
        </w:rPr>
        <w:t xml:space="preserve">, L., and Ruben </w:t>
      </w:r>
      <w:proofErr w:type="spellStart"/>
      <w:r w:rsidRPr="00395EFC">
        <w:rPr>
          <w:rFonts w:ascii="Calibri" w:cs="Calibri"/>
          <w:lang w:val="en-US"/>
        </w:rPr>
        <w:t>Iffland</w:t>
      </w:r>
      <w:proofErr w:type="spellEnd"/>
      <w:r w:rsidRPr="00395EFC">
        <w:rPr>
          <w:rFonts w:ascii="Calibri" w:cs="Calibri"/>
          <w:lang w:val="en-US"/>
        </w:rPr>
        <w:t xml:space="preserve">, J. (2017). Anticipation of Social and Monetary Rewards in Schizophrenia. Journal of Psychiatry </w:t>
      </w:r>
      <w:r w:rsidRPr="00395EFC">
        <w:rPr>
          <w:rFonts w:ascii="Calibri" w:cs="Calibri"/>
          <w:i/>
          <w:iCs/>
          <w:lang w:val="en-US"/>
        </w:rPr>
        <w:t>20</w:t>
      </w:r>
      <w:r>
        <w:rPr>
          <w:rFonts w:ascii="Calibri" w:cs="Calibri"/>
          <w:i/>
          <w:iCs/>
          <w:lang w:val="en-US"/>
        </w:rPr>
        <w:t xml:space="preserve">, </w:t>
      </w:r>
      <w:r>
        <w:rPr>
          <w:rFonts w:ascii="Calibri" w:cs="Calibri"/>
          <w:iCs/>
          <w:lang w:val="en-US"/>
        </w:rPr>
        <w:t>1-7</w:t>
      </w:r>
      <w:r w:rsidRPr="00395EFC">
        <w:rPr>
          <w:rFonts w:ascii="Calibri" w:cs="Calibri"/>
          <w:lang w:val="en-US"/>
        </w:rPr>
        <w:t>.</w:t>
      </w:r>
    </w:p>
    <w:p w14:paraId="35DEA7A9" w14:textId="77777777" w:rsidR="002D69FC" w:rsidRPr="002D69FC" w:rsidRDefault="002D69FC" w:rsidP="002D69FC">
      <w:pPr>
        <w:pStyle w:val="Bibliography"/>
        <w:rPr>
          <w:lang w:val="en-US"/>
        </w:rPr>
      </w:pPr>
      <w:r w:rsidRPr="002D69FC">
        <w:rPr>
          <w:lang w:val="en-US"/>
        </w:rPr>
        <w:t xml:space="preserve">Hanssen, E., Fett, A.-K., White, T.P., Caddy, C., Reimers, S., and Shergill, S.S. (2018). Cooperation and sensitivity to social feedback during group interactions in schizophrenia. Schizophr. Res. </w:t>
      </w:r>
      <w:r w:rsidRPr="002D69FC">
        <w:rPr>
          <w:i/>
          <w:iCs/>
          <w:lang w:val="en-US"/>
        </w:rPr>
        <w:t>202</w:t>
      </w:r>
      <w:r w:rsidRPr="002D69FC">
        <w:rPr>
          <w:lang w:val="en-US"/>
        </w:rPr>
        <w:t>, 361–368.</w:t>
      </w:r>
    </w:p>
    <w:p w14:paraId="39D2D157" w14:textId="77777777" w:rsidR="002D69FC" w:rsidRPr="002D69FC" w:rsidRDefault="002D69FC" w:rsidP="002D69FC">
      <w:pPr>
        <w:pStyle w:val="Bibliography"/>
        <w:rPr>
          <w:lang w:val="en-US"/>
        </w:rPr>
      </w:pPr>
      <w:r w:rsidRPr="002D69FC">
        <w:rPr>
          <w:lang w:val="en-US"/>
        </w:rPr>
        <w:lastRenderedPageBreak/>
        <w:t xml:space="preserve">Harbaugh, W.T., Mayr, U., and Burghart, D.R. (2007). Neural Responses to Taxation and Voluntary Giving Reveal Motives for Charitable Donations. Science </w:t>
      </w:r>
      <w:r w:rsidRPr="002D69FC">
        <w:rPr>
          <w:i/>
          <w:iCs/>
          <w:lang w:val="en-US"/>
        </w:rPr>
        <w:t>316</w:t>
      </w:r>
      <w:r w:rsidRPr="002D69FC">
        <w:rPr>
          <w:lang w:val="en-US"/>
        </w:rPr>
        <w:t>, 1622–1625.</w:t>
      </w:r>
    </w:p>
    <w:p w14:paraId="67B5D35D" w14:textId="77777777" w:rsidR="002D69FC" w:rsidRPr="002D69FC" w:rsidRDefault="002D69FC" w:rsidP="002D69FC">
      <w:pPr>
        <w:pStyle w:val="Bibliography"/>
        <w:rPr>
          <w:lang w:val="en-US"/>
        </w:rPr>
      </w:pPr>
      <w:r w:rsidRPr="002D69FC">
        <w:rPr>
          <w:lang w:val="en-US"/>
        </w:rPr>
        <w:t xml:space="preserve">Herrmann, B., Thöni, C., and Gachter, S. (2008). Antisocial punishment across societies. Sci. N. Y. NY </w:t>
      </w:r>
      <w:r w:rsidRPr="002D69FC">
        <w:rPr>
          <w:i/>
          <w:iCs/>
          <w:lang w:val="en-US"/>
        </w:rPr>
        <w:t>319</w:t>
      </w:r>
      <w:r w:rsidRPr="002D69FC">
        <w:rPr>
          <w:lang w:val="en-US"/>
        </w:rPr>
        <w:t>, 1362–1367.</w:t>
      </w:r>
    </w:p>
    <w:p w14:paraId="457A920B" w14:textId="77777777" w:rsidR="002D69FC" w:rsidRPr="002D69FC" w:rsidRDefault="002D69FC" w:rsidP="002D69FC">
      <w:pPr>
        <w:pStyle w:val="Bibliography"/>
        <w:rPr>
          <w:lang w:val="en-US"/>
        </w:rPr>
      </w:pPr>
      <w:r w:rsidRPr="002D69FC">
        <w:rPr>
          <w:lang w:val="en-US"/>
        </w:rPr>
        <w:t xml:space="preserve">Howes, O.D., and Murray, R.M. (2014). Schizophrenia: an integrated sociodevelopmental-cognitive model. The Lancet </w:t>
      </w:r>
      <w:r w:rsidRPr="002D69FC">
        <w:rPr>
          <w:i/>
          <w:iCs/>
          <w:lang w:val="en-US"/>
        </w:rPr>
        <w:t>383</w:t>
      </w:r>
      <w:r w:rsidRPr="002D69FC">
        <w:rPr>
          <w:lang w:val="en-US"/>
        </w:rPr>
        <w:t>, 1677–1687.</w:t>
      </w:r>
    </w:p>
    <w:p w14:paraId="0A41821F" w14:textId="77777777" w:rsidR="002D69FC" w:rsidRPr="002D69FC" w:rsidRDefault="002D69FC" w:rsidP="002D69FC">
      <w:pPr>
        <w:pStyle w:val="Bibliography"/>
        <w:rPr>
          <w:lang w:val="en-US"/>
        </w:rPr>
      </w:pPr>
      <w:r w:rsidRPr="002D69FC">
        <w:rPr>
          <w:lang w:val="en-US"/>
        </w:rPr>
        <w:t xml:space="preserve">Kahneman, D., Knetsch, J.L., and Thaler, R. (1986). Fairness as a Constraint on Profit Seeking: Entitlements in the Market. Am. Econ. Rev. </w:t>
      </w:r>
      <w:r w:rsidRPr="002D69FC">
        <w:rPr>
          <w:i/>
          <w:iCs/>
          <w:lang w:val="en-US"/>
        </w:rPr>
        <w:t>76</w:t>
      </w:r>
      <w:r w:rsidRPr="002D69FC">
        <w:rPr>
          <w:lang w:val="en-US"/>
        </w:rPr>
        <w:t>, 728–741.</w:t>
      </w:r>
    </w:p>
    <w:p w14:paraId="0E2995BD" w14:textId="52BA4576" w:rsidR="002D69FC" w:rsidRDefault="002D69FC" w:rsidP="002D69FC">
      <w:pPr>
        <w:pStyle w:val="Bibliography"/>
        <w:rPr>
          <w:lang w:val="en-US"/>
        </w:rPr>
      </w:pPr>
      <w:r w:rsidRPr="002D69FC">
        <w:rPr>
          <w:lang w:val="en-US"/>
        </w:rPr>
        <w:t xml:space="preserve">Labella, M.H., and Masten, A.S. (2018). Family influences on the development of aggression and violence. Curr. Opin. Psychol. </w:t>
      </w:r>
      <w:r w:rsidRPr="002D69FC">
        <w:rPr>
          <w:i/>
          <w:iCs/>
          <w:lang w:val="en-US"/>
        </w:rPr>
        <w:t>19</w:t>
      </w:r>
      <w:r w:rsidRPr="002D69FC">
        <w:rPr>
          <w:lang w:val="en-US"/>
        </w:rPr>
        <w:t>, 11–16.</w:t>
      </w:r>
    </w:p>
    <w:p w14:paraId="4F07A65E" w14:textId="7969E999" w:rsidR="00E870FD" w:rsidRPr="00E870FD" w:rsidRDefault="00E870FD" w:rsidP="00E870FD">
      <w:pPr>
        <w:pStyle w:val="Bibliography"/>
        <w:rPr>
          <w:rFonts w:ascii="Calibri" w:cs="Calibri"/>
          <w:lang w:val="en-US"/>
        </w:rPr>
      </w:pPr>
      <w:r w:rsidRPr="00395EFC">
        <w:rPr>
          <w:rFonts w:ascii="Calibri" w:cs="Calibri"/>
          <w:lang w:val="en-US"/>
        </w:rPr>
        <w:t xml:space="preserve">Leach, C.W., Spears, R., </w:t>
      </w:r>
      <w:proofErr w:type="spellStart"/>
      <w:r w:rsidRPr="00395EFC">
        <w:rPr>
          <w:rFonts w:ascii="Calibri" w:cs="Calibri"/>
          <w:lang w:val="en-US"/>
        </w:rPr>
        <w:t>Branscombe</w:t>
      </w:r>
      <w:proofErr w:type="spellEnd"/>
      <w:r w:rsidRPr="00395EFC">
        <w:rPr>
          <w:rFonts w:ascii="Calibri" w:cs="Calibri"/>
          <w:lang w:val="en-US"/>
        </w:rPr>
        <w:t xml:space="preserve">, N.R., and </w:t>
      </w:r>
      <w:proofErr w:type="spellStart"/>
      <w:r w:rsidRPr="00395EFC">
        <w:rPr>
          <w:rFonts w:ascii="Calibri" w:cs="Calibri"/>
          <w:lang w:val="en-US"/>
        </w:rPr>
        <w:t>Doosje</w:t>
      </w:r>
      <w:proofErr w:type="spellEnd"/>
      <w:r w:rsidRPr="00395EFC">
        <w:rPr>
          <w:rFonts w:ascii="Calibri" w:cs="Calibri"/>
          <w:lang w:val="en-US"/>
        </w:rPr>
        <w:t xml:space="preserve">, B. (2003). Malicious pleasure: Schadenfreude at the suffering of another group. Journal of Personality and Social Psychology </w:t>
      </w:r>
      <w:r w:rsidRPr="00395EFC">
        <w:rPr>
          <w:rFonts w:ascii="Calibri" w:cs="Calibri"/>
          <w:i/>
          <w:iCs/>
          <w:lang w:val="en-US"/>
        </w:rPr>
        <w:t>84</w:t>
      </w:r>
      <w:r w:rsidRPr="00395EFC">
        <w:rPr>
          <w:rFonts w:ascii="Calibri" w:cs="Calibri"/>
          <w:lang w:val="en-US"/>
        </w:rPr>
        <w:t>, 932–943.</w:t>
      </w:r>
    </w:p>
    <w:p w14:paraId="6C622928" w14:textId="77777777" w:rsidR="002D69FC" w:rsidRPr="002D69FC" w:rsidRDefault="002D69FC" w:rsidP="002D69FC">
      <w:pPr>
        <w:pStyle w:val="Bibliography"/>
        <w:rPr>
          <w:lang w:val="en-US"/>
        </w:rPr>
      </w:pPr>
      <w:r w:rsidRPr="002D69FC">
        <w:rPr>
          <w:lang w:val="en-US"/>
        </w:rPr>
        <w:t xml:space="preserve">Lemmers-Jansen, I.L.J., Fett, A.-K.J., Hanssen, E., Veltman, D.J., and Krabbendam, L. (2019). Learning to trust: social feedback normalizes trust behavior in first-episode psychosis and clinical high risk. Psychol. Med. </w:t>
      </w:r>
      <w:r w:rsidRPr="002D69FC">
        <w:rPr>
          <w:i/>
          <w:iCs/>
          <w:lang w:val="en-US"/>
        </w:rPr>
        <w:t>49</w:t>
      </w:r>
      <w:r w:rsidRPr="002D69FC">
        <w:rPr>
          <w:lang w:val="en-US"/>
        </w:rPr>
        <w:t>, 780–790.</w:t>
      </w:r>
    </w:p>
    <w:p w14:paraId="0CD1D7E6" w14:textId="77777777" w:rsidR="002D69FC" w:rsidRPr="002D69FC" w:rsidRDefault="002D69FC" w:rsidP="002D69FC">
      <w:pPr>
        <w:pStyle w:val="Bibliography"/>
        <w:rPr>
          <w:lang w:val="en-US"/>
        </w:rPr>
      </w:pPr>
      <w:r w:rsidRPr="002D69FC">
        <w:rPr>
          <w:lang w:val="en-US"/>
        </w:rPr>
        <w:t xml:space="preserve">Moll, J., Krueger, F., Zahn, R., Pardini, M., Oliveira-Souza, R. de, and Grafman, J. (2006). Human fronto–mesolimbic networks guide decisions about charitable donation. Proc. Natl. Acad. Sci. </w:t>
      </w:r>
      <w:r w:rsidRPr="002D69FC">
        <w:rPr>
          <w:i/>
          <w:iCs/>
          <w:lang w:val="en-US"/>
        </w:rPr>
        <w:t>103</w:t>
      </w:r>
      <w:r w:rsidRPr="002D69FC">
        <w:rPr>
          <w:lang w:val="en-US"/>
        </w:rPr>
        <w:t>, 15623–15628.</w:t>
      </w:r>
    </w:p>
    <w:p w14:paraId="6954497A" w14:textId="7137CC26" w:rsidR="002D69FC" w:rsidRDefault="002D69FC" w:rsidP="002D69FC">
      <w:pPr>
        <w:pStyle w:val="Bibliography"/>
        <w:rPr>
          <w:lang w:val="en-US"/>
        </w:rPr>
      </w:pPr>
      <w:r w:rsidRPr="002D69FC">
        <w:rPr>
          <w:lang w:val="en-US"/>
        </w:rPr>
        <w:t xml:space="preserve">Moll, J., de Oliveira-Souza, R., Basilio, R., Bramati, I.E., Gordon, B., Rodríguez-Nieto, G., Zahn, R., Krueger, F., and Grafman, J. (2018). Altruistic decisions following penetrating traumatic brain injury. Brain </w:t>
      </w:r>
      <w:r w:rsidRPr="002D69FC">
        <w:rPr>
          <w:i/>
          <w:iCs/>
          <w:lang w:val="en-US"/>
        </w:rPr>
        <w:t>141</w:t>
      </w:r>
      <w:r w:rsidRPr="002D69FC">
        <w:rPr>
          <w:lang w:val="en-US"/>
        </w:rPr>
        <w:t>, 1558–1569.</w:t>
      </w:r>
    </w:p>
    <w:p w14:paraId="049FB788" w14:textId="0D9764E4" w:rsidR="00E870FD" w:rsidRPr="00E870FD" w:rsidRDefault="00E870FD" w:rsidP="00E870FD">
      <w:pPr>
        <w:pStyle w:val="Bibliography"/>
        <w:rPr>
          <w:rFonts w:ascii="Calibri" w:cs="Calibri"/>
          <w:lang w:val="en-US"/>
        </w:rPr>
      </w:pPr>
      <w:proofErr w:type="spellStart"/>
      <w:r w:rsidRPr="00395EFC">
        <w:rPr>
          <w:rFonts w:ascii="Calibri" w:cs="Calibri"/>
          <w:lang w:val="en-US"/>
        </w:rPr>
        <w:t>Nimon</w:t>
      </w:r>
      <w:proofErr w:type="spellEnd"/>
      <w:r w:rsidRPr="00395EFC">
        <w:rPr>
          <w:rFonts w:ascii="Calibri" w:cs="Calibri"/>
          <w:lang w:val="en-US"/>
        </w:rPr>
        <w:t xml:space="preserve">, K., and </w:t>
      </w:r>
      <w:proofErr w:type="spellStart"/>
      <w:r w:rsidRPr="00395EFC">
        <w:rPr>
          <w:rFonts w:ascii="Calibri" w:cs="Calibri"/>
          <w:lang w:val="en-US"/>
        </w:rPr>
        <w:t>Reio</w:t>
      </w:r>
      <w:proofErr w:type="spellEnd"/>
      <w:r w:rsidRPr="00395EFC">
        <w:rPr>
          <w:rFonts w:ascii="Calibri" w:cs="Calibri"/>
          <w:lang w:val="en-US"/>
        </w:rPr>
        <w:t xml:space="preserve">, T.G. (2011). Regression Commonality Analysis: A Technique for Quantitative Theory Building. Human Resource Development Review </w:t>
      </w:r>
      <w:r w:rsidRPr="00395EFC">
        <w:rPr>
          <w:rFonts w:ascii="Calibri" w:cs="Calibri"/>
          <w:i/>
          <w:iCs/>
          <w:lang w:val="en-US"/>
        </w:rPr>
        <w:t>10</w:t>
      </w:r>
      <w:r w:rsidRPr="00395EFC">
        <w:rPr>
          <w:rFonts w:ascii="Calibri" w:cs="Calibri"/>
          <w:lang w:val="en-US"/>
        </w:rPr>
        <w:t>, 329–340.</w:t>
      </w:r>
    </w:p>
    <w:p w14:paraId="6193ACA1" w14:textId="53E801CF" w:rsidR="002D69FC" w:rsidRDefault="002D69FC" w:rsidP="002D69FC">
      <w:pPr>
        <w:pStyle w:val="Bibliography"/>
        <w:rPr>
          <w:lang w:val="en-US"/>
        </w:rPr>
      </w:pPr>
      <w:r w:rsidRPr="002D69FC">
        <w:rPr>
          <w:lang w:val="en-US"/>
        </w:rPr>
        <w:t xml:space="preserve">Nimon, K., Oswald, F., and </w:t>
      </w:r>
      <w:proofErr w:type="gramStart"/>
      <w:r w:rsidRPr="002D69FC">
        <w:rPr>
          <w:lang w:val="en-US"/>
        </w:rPr>
        <w:t>Roberts,  and</w:t>
      </w:r>
      <w:proofErr w:type="gramEnd"/>
      <w:r w:rsidRPr="002D69FC">
        <w:rPr>
          <w:lang w:val="en-US"/>
        </w:rPr>
        <w:t xml:space="preserve"> J.K. (2013). yhat: Interpreting Regression Effects.</w:t>
      </w:r>
    </w:p>
    <w:p w14:paraId="069A4EB3" w14:textId="3CC9BDFB" w:rsidR="00E870FD" w:rsidRDefault="00E870FD" w:rsidP="00E870FD">
      <w:pPr>
        <w:rPr>
          <w:rFonts w:ascii="Calibri" w:cs="Calibri"/>
          <w:lang w:val="en-US"/>
        </w:rPr>
      </w:pPr>
      <w:r w:rsidRPr="00395EFC">
        <w:rPr>
          <w:rFonts w:ascii="Calibri" w:cs="Calibri"/>
          <w:lang w:val="en-US"/>
        </w:rPr>
        <w:t xml:space="preserve">O’Meara, A., Davies, J., and Hammond, S. (2011). The psychometric properties and utility of the Short Sadistic Impulse Scale (SSIS). Psychological Assessment </w:t>
      </w:r>
      <w:r w:rsidRPr="00395EFC">
        <w:rPr>
          <w:rFonts w:ascii="Calibri" w:cs="Calibri"/>
          <w:i/>
          <w:iCs/>
          <w:lang w:val="en-US"/>
        </w:rPr>
        <w:t>23</w:t>
      </w:r>
      <w:r w:rsidRPr="00395EFC">
        <w:rPr>
          <w:rFonts w:ascii="Calibri" w:cs="Calibri"/>
          <w:lang w:val="en-US"/>
        </w:rPr>
        <w:t>, 523–531.</w:t>
      </w:r>
    </w:p>
    <w:p w14:paraId="228A153C" w14:textId="77777777" w:rsidR="00E870FD" w:rsidRPr="00E870FD" w:rsidRDefault="00E870FD" w:rsidP="00E870FD">
      <w:pPr>
        <w:rPr>
          <w:lang w:val="en-US"/>
        </w:rPr>
      </w:pPr>
    </w:p>
    <w:p w14:paraId="7952781F" w14:textId="77777777" w:rsidR="002D69FC" w:rsidRPr="002D69FC" w:rsidRDefault="002D69FC" w:rsidP="002D69FC">
      <w:pPr>
        <w:pStyle w:val="Bibliography"/>
        <w:rPr>
          <w:lang w:val="en-US"/>
        </w:rPr>
      </w:pPr>
      <w:r w:rsidRPr="002D69FC">
        <w:rPr>
          <w:lang w:val="en-US"/>
        </w:rPr>
        <w:t xml:space="preserve">Prediger, S., Vollan, B., and Herrmann, B. (2014). Resource scarcity and antisocial behavior. J. Public Econ. </w:t>
      </w:r>
      <w:r w:rsidRPr="002D69FC">
        <w:rPr>
          <w:i/>
          <w:iCs/>
          <w:lang w:val="en-US"/>
        </w:rPr>
        <w:t>119</w:t>
      </w:r>
      <w:r w:rsidRPr="002D69FC">
        <w:rPr>
          <w:lang w:val="en-US"/>
        </w:rPr>
        <w:t>, 1–9.</w:t>
      </w:r>
    </w:p>
    <w:p w14:paraId="6BD74315" w14:textId="77777777" w:rsidR="002D69FC" w:rsidRPr="002D69FC" w:rsidRDefault="002D69FC" w:rsidP="002D69FC">
      <w:pPr>
        <w:pStyle w:val="Bibliography"/>
        <w:rPr>
          <w:lang w:val="en-US"/>
        </w:rPr>
      </w:pPr>
      <w:r w:rsidRPr="002D69FC">
        <w:rPr>
          <w:lang w:val="en-US"/>
        </w:rPr>
        <w:t xml:space="preserve">Raihani, N.J., and Bell, V. (2017a). Conflict and cooperation in paranoia: a large-scale behavioural experiment. Psychol. Med. </w:t>
      </w:r>
      <w:r w:rsidRPr="002D69FC">
        <w:rPr>
          <w:i/>
          <w:iCs/>
          <w:lang w:val="en-US"/>
        </w:rPr>
        <w:t>76</w:t>
      </w:r>
      <w:r w:rsidRPr="002D69FC">
        <w:rPr>
          <w:lang w:val="en-US"/>
        </w:rPr>
        <w:t>, 1–11.</w:t>
      </w:r>
    </w:p>
    <w:p w14:paraId="3C35665A" w14:textId="77777777" w:rsidR="002D69FC" w:rsidRPr="002D69FC" w:rsidRDefault="002D69FC" w:rsidP="002D69FC">
      <w:pPr>
        <w:pStyle w:val="Bibliography"/>
        <w:rPr>
          <w:lang w:val="en-US"/>
        </w:rPr>
      </w:pPr>
      <w:r w:rsidRPr="002D69FC">
        <w:rPr>
          <w:lang w:val="en-US"/>
        </w:rPr>
        <w:t xml:space="preserve">Raihani, N.J., and Bell, V. (2017b). Paranoia and the social representation of others: a large-scale game theory approach. Sci. Rep. </w:t>
      </w:r>
      <w:r w:rsidRPr="002D69FC">
        <w:rPr>
          <w:i/>
          <w:iCs/>
          <w:lang w:val="en-US"/>
        </w:rPr>
        <w:t>7</w:t>
      </w:r>
      <w:r w:rsidRPr="002D69FC">
        <w:rPr>
          <w:lang w:val="en-US"/>
        </w:rPr>
        <w:t>, 4544.</w:t>
      </w:r>
    </w:p>
    <w:p w14:paraId="67A46FEC" w14:textId="77777777" w:rsidR="002D69FC" w:rsidRPr="002D69FC" w:rsidRDefault="002D69FC" w:rsidP="002D69FC">
      <w:pPr>
        <w:pStyle w:val="Bibliography"/>
        <w:rPr>
          <w:lang w:val="en-US"/>
        </w:rPr>
      </w:pPr>
      <w:r w:rsidRPr="002D69FC">
        <w:rPr>
          <w:lang w:val="en-US"/>
        </w:rPr>
        <w:t xml:space="preserve">Raihani, N.J., and Bell, V. (2019). An evolutionary perspective on paranoia. Nat. Hum. Behav. </w:t>
      </w:r>
      <w:r w:rsidRPr="002D69FC">
        <w:rPr>
          <w:i/>
          <w:iCs/>
          <w:lang w:val="en-US"/>
        </w:rPr>
        <w:t>3</w:t>
      </w:r>
      <w:r w:rsidRPr="002D69FC">
        <w:rPr>
          <w:lang w:val="en-US"/>
        </w:rPr>
        <w:t>, 114–121.</w:t>
      </w:r>
    </w:p>
    <w:p w14:paraId="2A6699C9" w14:textId="58E84877" w:rsidR="002D69FC" w:rsidRDefault="002D69FC" w:rsidP="002D69FC">
      <w:pPr>
        <w:pStyle w:val="Bibliography"/>
        <w:rPr>
          <w:lang w:val="en-US"/>
        </w:rPr>
      </w:pPr>
      <w:r w:rsidRPr="002D69FC">
        <w:rPr>
          <w:lang w:val="en-US"/>
        </w:rPr>
        <w:lastRenderedPageBreak/>
        <w:t xml:space="preserve">Raihani, N.J., and Deutchman, P. (2017). Dark Triad personality traits vary across countries and predict antisocial behavior. </w:t>
      </w:r>
      <w:proofErr w:type="spellStart"/>
      <w:r w:rsidRPr="002D69FC">
        <w:rPr>
          <w:lang w:val="en-US"/>
        </w:rPr>
        <w:t>PsyArXiv</w:t>
      </w:r>
      <w:proofErr w:type="spellEnd"/>
      <w:r w:rsidRPr="002D69FC">
        <w:rPr>
          <w:lang w:val="en-US"/>
        </w:rPr>
        <w:t>.</w:t>
      </w:r>
    </w:p>
    <w:p w14:paraId="6230DA5D" w14:textId="0CA5775F" w:rsidR="00E870FD" w:rsidRDefault="00E870FD" w:rsidP="00E870FD">
      <w:pPr>
        <w:rPr>
          <w:rFonts w:ascii="Calibri" w:cs="Calibri"/>
          <w:lang w:val="en-US"/>
        </w:rPr>
      </w:pPr>
      <w:r w:rsidRPr="00395EFC">
        <w:rPr>
          <w:rFonts w:ascii="Calibri" w:cs="Calibri"/>
          <w:lang w:val="en-US"/>
        </w:rPr>
        <w:t xml:space="preserve">Ray Mukherjee, J., </w:t>
      </w:r>
      <w:proofErr w:type="spellStart"/>
      <w:r w:rsidRPr="00395EFC">
        <w:rPr>
          <w:rFonts w:ascii="Calibri" w:cs="Calibri"/>
          <w:lang w:val="en-US"/>
        </w:rPr>
        <w:t>Nimon</w:t>
      </w:r>
      <w:proofErr w:type="spellEnd"/>
      <w:r w:rsidRPr="00395EFC">
        <w:rPr>
          <w:rFonts w:ascii="Calibri" w:cs="Calibri"/>
          <w:lang w:val="en-US"/>
        </w:rPr>
        <w:t xml:space="preserve">, K., Mukherjee, S., Morris, D.W., </w:t>
      </w:r>
      <w:proofErr w:type="spellStart"/>
      <w:r w:rsidRPr="00395EFC">
        <w:rPr>
          <w:rFonts w:ascii="Calibri" w:cs="Calibri"/>
          <w:lang w:val="en-US"/>
        </w:rPr>
        <w:t>Slotow</w:t>
      </w:r>
      <w:proofErr w:type="spellEnd"/>
      <w:r w:rsidRPr="00395EFC">
        <w:rPr>
          <w:rFonts w:ascii="Calibri" w:cs="Calibri"/>
          <w:lang w:val="en-US"/>
        </w:rPr>
        <w:t xml:space="preserve">, R., and Hamer, M. (2014). Using commonality analysis in multiple regressions: a tool to decompose regression effects in the face of multicollinearity. Methods in Ecology and Evolution </w:t>
      </w:r>
      <w:r w:rsidRPr="00395EFC">
        <w:rPr>
          <w:rFonts w:ascii="Calibri" w:cs="Calibri"/>
          <w:i/>
          <w:iCs/>
          <w:lang w:val="en-US"/>
        </w:rPr>
        <w:t>5</w:t>
      </w:r>
      <w:r w:rsidRPr="00395EFC">
        <w:rPr>
          <w:rFonts w:ascii="Calibri" w:cs="Calibri"/>
          <w:lang w:val="en-US"/>
        </w:rPr>
        <w:t>, 320–328.</w:t>
      </w:r>
    </w:p>
    <w:p w14:paraId="42E14151" w14:textId="07B80010" w:rsidR="00E870FD" w:rsidRDefault="00E870FD" w:rsidP="00E870FD">
      <w:pPr>
        <w:rPr>
          <w:lang w:val="en-US"/>
        </w:rPr>
      </w:pPr>
    </w:p>
    <w:p w14:paraId="38E71A90" w14:textId="454944E6" w:rsidR="00E870FD" w:rsidRDefault="00E870FD" w:rsidP="00E870FD">
      <w:pPr>
        <w:rPr>
          <w:rFonts w:ascii="Calibri" w:cs="Calibri"/>
          <w:lang w:val="en-US"/>
        </w:rPr>
      </w:pPr>
      <w:r w:rsidRPr="00395EFC">
        <w:rPr>
          <w:rFonts w:ascii="Calibri" w:cs="Calibri"/>
          <w:lang w:val="en-US"/>
        </w:rPr>
        <w:t xml:space="preserve">Ritsner, M.S., Ratner, Y., </w:t>
      </w:r>
      <w:proofErr w:type="spellStart"/>
      <w:r w:rsidRPr="00395EFC">
        <w:rPr>
          <w:rFonts w:ascii="Calibri" w:cs="Calibri"/>
          <w:lang w:val="en-US"/>
        </w:rPr>
        <w:t>Mendyk</w:t>
      </w:r>
      <w:proofErr w:type="spellEnd"/>
      <w:r w:rsidRPr="00395EFC">
        <w:rPr>
          <w:rFonts w:ascii="Calibri" w:cs="Calibri"/>
          <w:lang w:val="en-US"/>
        </w:rPr>
        <w:t xml:space="preserve">, N., and Gooding, D.C. (2018). The characterization of social anhedonia and its correlates in schizophrenia and schizoaffective patients. Psychiatry Research </w:t>
      </w:r>
      <w:r w:rsidRPr="00395EFC">
        <w:rPr>
          <w:rFonts w:ascii="Calibri" w:cs="Calibri"/>
          <w:i/>
          <w:iCs/>
          <w:lang w:val="en-US"/>
        </w:rPr>
        <w:t>270</w:t>
      </w:r>
      <w:r w:rsidRPr="00395EFC">
        <w:rPr>
          <w:rFonts w:ascii="Calibri" w:cs="Calibri"/>
          <w:lang w:val="en-US"/>
        </w:rPr>
        <w:t>, 922–928.</w:t>
      </w:r>
    </w:p>
    <w:p w14:paraId="26E4F25D" w14:textId="77777777" w:rsidR="00E870FD" w:rsidRPr="00E870FD" w:rsidRDefault="00E870FD" w:rsidP="00E870FD">
      <w:pPr>
        <w:rPr>
          <w:lang w:val="en-US"/>
        </w:rPr>
      </w:pPr>
      <w:bookmarkStart w:id="0" w:name="_GoBack"/>
      <w:bookmarkEnd w:id="0"/>
    </w:p>
    <w:p w14:paraId="3D2680D2" w14:textId="77777777" w:rsidR="002D69FC" w:rsidRPr="002D69FC" w:rsidRDefault="002D69FC" w:rsidP="002D69FC">
      <w:pPr>
        <w:pStyle w:val="Bibliography"/>
        <w:rPr>
          <w:lang w:val="en-US"/>
        </w:rPr>
      </w:pPr>
      <w:r w:rsidRPr="002D69FC">
        <w:rPr>
          <w:lang w:val="en-US"/>
        </w:rPr>
        <w:t xml:space="preserve">Saalfeld, V., Ramadan, Z., Bell, V., and Raihani, N.J. (2018). Experimentally induced social threat increases paranoid thinking. R. Soc. Open Sci. </w:t>
      </w:r>
      <w:r w:rsidRPr="002D69FC">
        <w:rPr>
          <w:i/>
          <w:iCs/>
          <w:lang w:val="en-US"/>
        </w:rPr>
        <w:t>5</w:t>
      </w:r>
      <w:r w:rsidRPr="002D69FC">
        <w:rPr>
          <w:lang w:val="en-US"/>
        </w:rPr>
        <w:t>, 180569.</w:t>
      </w:r>
    </w:p>
    <w:p w14:paraId="0928D91A" w14:textId="77777777" w:rsidR="002D69FC" w:rsidRPr="002D69FC" w:rsidRDefault="002D69FC" w:rsidP="002D69FC">
      <w:pPr>
        <w:pStyle w:val="Bibliography"/>
        <w:rPr>
          <w:lang w:val="en-US"/>
        </w:rPr>
      </w:pPr>
      <w:r w:rsidRPr="002D69FC">
        <w:rPr>
          <w:lang w:val="en-US"/>
        </w:rPr>
        <w:t xml:space="preserve">Sarin, A., Lagnado, D.A., and Burgess, P.W. (2017). The Intention-Outcome Asymmetry Effect. Exp. Psychol. </w:t>
      </w:r>
      <w:r w:rsidRPr="002D69FC">
        <w:rPr>
          <w:i/>
          <w:iCs/>
          <w:lang w:val="en-US"/>
        </w:rPr>
        <w:t>64</w:t>
      </w:r>
      <w:r w:rsidRPr="002D69FC">
        <w:rPr>
          <w:lang w:val="en-US"/>
        </w:rPr>
        <w:t>, 124–141.</w:t>
      </w:r>
    </w:p>
    <w:p w14:paraId="7F1D61A1" w14:textId="77777777" w:rsidR="002D69FC" w:rsidRPr="002D69FC" w:rsidRDefault="002D69FC" w:rsidP="002D69FC">
      <w:pPr>
        <w:pStyle w:val="Bibliography"/>
        <w:rPr>
          <w:lang w:val="en-US"/>
        </w:rPr>
      </w:pPr>
      <w:r w:rsidRPr="002D69FC">
        <w:rPr>
          <w:lang w:val="en-US"/>
        </w:rPr>
        <w:t>Schaechtele, S., Gerstenberg, T., and Lagnado, D. (2011). Beyond outcomes: the influence of intentions and deception. Mindmodeling.Org.</w:t>
      </w:r>
    </w:p>
    <w:p w14:paraId="25375D9E" w14:textId="77777777" w:rsidR="002D69FC" w:rsidRPr="002D69FC" w:rsidRDefault="002D69FC" w:rsidP="002D69FC">
      <w:pPr>
        <w:pStyle w:val="Bibliography"/>
        <w:rPr>
          <w:lang w:val="en-US"/>
        </w:rPr>
      </w:pPr>
      <w:r w:rsidRPr="002D69FC">
        <w:rPr>
          <w:lang w:val="en-US"/>
        </w:rPr>
        <w:t xml:space="preserve">Wickham, S., Taylor, P., Shevlin, M., and Bentall, R.P. (2014). The Impact of Social Deprivation on Paranoia, Hallucinations, Mania and Depression: The Role of Discrimination Social Support, Stress and Trust. PLoS ONE </w:t>
      </w:r>
      <w:r w:rsidRPr="002D69FC">
        <w:rPr>
          <w:i/>
          <w:iCs/>
          <w:lang w:val="en-US"/>
        </w:rPr>
        <w:t>9</w:t>
      </w:r>
      <w:r w:rsidRPr="002D69FC">
        <w:rPr>
          <w:lang w:val="en-US"/>
        </w:rPr>
        <w:t>, e105140.</w:t>
      </w:r>
    </w:p>
    <w:p w14:paraId="71750997" w14:textId="22A83BD7" w:rsidR="002E3913" w:rsidRPr="00246FB3" w:rsidRDefault="0011309D" w:rsidP="004D752D">
      <w:r>
        <w:fldChar w:fldCharType="end"/>
      </w:r>
    </w:p>
    <w:p w14:paraId="7AABFAD7" w14:textId="77777777" w:rsidR="002E3913" w:rsidRPr="00EF71A5" w:rsidRDefault="002E3913" w:rsidP="004D752D"/>
    <w:p w14:paraId="7B8293E6" w14:textId="7F74FB50" w:rsidR="00EF71A5" w:rsidRDefault="00EF71A5" w:rsidP="004D752D">
      <w:pPr>
        <w:rPr>
          <w:rFonts w:ascii="Arial" w:hAnsi="Arial" w:cs="Arial"/>
          <w:color w:val="222222"/>
          <w:sz w:val="20"/>
          <w:szCs w:val="20"/>
          <w:shd w:val="clear" w:color="auto" w:fill="FFFFFF"/>
        </w:rPr>
      </w:pPr>
    </w:p>
    <w:p w14:paraId="28603320" w14:textId="77777777" w:rsidR="00246FB3" w:rsidRDefault="00246FB3" w:rsidP="004D752D">
      <w:pPr>
        <w:rPr>
          <w:rFonts w:ascii="Arial" w:hAnsi="Arial" w:cs="Arial"/>
          <w:color w:val="222222"/>
          <w:sz w:val="20"/>
          <w:szCs w:val="20"/>
          <w:shd w:val="clear" w:color="auto" w:fill="FFFFFF"/>
        </w:rPr>
      </w:pPr>
    </w:p>
    <w:p w14:paraId="43E09DC0" w14:textId="77777777" w:rsidR="00EF71A5" w:rsidRDefault="00EF71A5" w:rsidP="00EF71A5">
      <w:pPr>
        <w:pStyle w:val="Bibliography"/>
      </w:pPr>
    </w:p>
    <w:p w14:paraId="36294DE2" w14:textId="10BBEE16" w:rsidR="00EF71A5" w:rsidRPr="002E3913" w:rsidRDefault="00EF71A5" w:rsidP="004D752D"/>
    <w:sectPr w:rsidR="00EF71A5" w:rsidRPr="002E3913" w:rsidSect="00724C3E">
      <w:footerReference w:type="default" r:id="rId11"/>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D7A44" w14:textId="77777777" w:rsidR="006F2F19" w:rsidRDefault="006F2F19" w:rsidP="004617A0">
      <w:r>
        <w:separator/>
      </w:r>
    </w:p>
  </w:endnote>
  <w:endnote w:type="continuationSeparator" w:id="0">
    <w:p w14:paraId="20E8D810" w14:textId="77777777" w:rsidR="006F2F19" w:rsidRDefault="006F2F19" w:rsidP="0046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767729"/>
      <w:docPartObj>
        <w:docPartGallery w:val="Page Numbers (Bottom of Page)"/>
        <w:docPartUnique/>
      </w:docPartObj>
    </w:sdtPr>
    <w:sdtEndPr>
      <w:rPr>
        <w:noProof/>
      </w:rPr>
    </w:sdtEndPr>
    <w:sdtContent>
      <w:p w14:paraId="455ACC82" w14:textId="4840F376" w:rsidR="00F75A5B" w:rsidRDefault="00F75A5B">
        <w:pPr>
          <w:pStyle w:val="Footer"/>
          <w:jc w:val="right"/>
        </w:pPr>
        <w:r>
          <w:fldChar w:fldCharType="begin"/>
        </w:r>
        <w:r>
          <w:instrText xml:space="preserve"> PAGE   \* MERGEFORMAT </w:instrText>
        </w:r>
        <w:r>
          <w:fldChar w:fldCharType="separate"/>
        </w:r>
        <w:r w:rsidR="000F100B">
          <w:rPr>
            <w:noProof/>
          </w:rPr>
          <w:t>1</w:t>
        </w:r>
        <w:r>
          <w:rPr>
            <w:noProof/>
          </w:rPr>
          <w:fldChar w:fldCharType="end"/>
        </w:r>
      </w:p>
    </w:sdtContent>
  </w:sdt>
  <w:p w14:paraId="47647184" w14:textId="77777777" w:rsidR="00F75A5B" w:rsidRDefault="00F75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824996"/>
      <w:docPartObj>
        <w:docPartGallery w:val="Page Numbers (Bottom of Page)"/>
        <w:docPartUnique/>
      </w:docPartObj>
    </w:sdtPr>
    <w:sdtEndPr>
      <w:rPr>
        <w:noProof/>
      </w:rPr>
    </w:sdtEndPr>
    <w:sdtContent>
      <w:p w14:paraId="624658A7" w14:textId="1C71881C" w:rsidR="00F75A5B" w:rsidRDefault="00F75A5B">
        <w:pPr>
          <w:pStyle w:val="Footer"/>
          <w:jc w:val="right"/>
        </w:pPr>
        <w:r>
          <w:fldChar w:fldCharType="begin"/>
        </w:r>
        <w:r>
          <w:instrText xml:space="preserve"> PAGE   \* MERGEFORMAT </w:instrText>
        </w:r>
        <w:r>
          <w:fldChar w:fldCharType="separate"/>
        </w:r>
        <w:r w:rsidR="000F100B">
          <w:rPr>
            <w:noProof/>
          </w:rPr>
          <w:t>20</w:t>
        </w:r>
        <w:r>
          <w:rPr>
            <w:noProof/>
          </w:rPr>
          <w:fldChar w:fldCharType="end"/>
        </w:r>
      </w:p>
    </w:sdtContent>
  </w:sdt>
  <w:p w14:paraId="6E2EF48D" w14:textId="77777777" w:rsidR="00F75A5B" w:rsidRDefault="00F75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C93B1" w14:textId="77777777" w:rsidR="006F2F19" w:rsidRDefault="006F2F19" w:rsidP="004617A0">
      <w:r>
        <w:separator/>
      </w:r>
    </w:p>
  </w:footnote>
  <w:footnote w:type="continuationSeparator" w:id="0">
    <w:p w14:paraId="6FCE2287" w14:textId="77777777" w:rsidR="006F2F19" w:rsidRDefault="006F2F19" w:rsidP="004617A0">
      <w:r>
        <w:continuationSeparator/>
      </w:r>
    </w:p>
  </w:footnote>
  <w:footnote w:id="1">
    <w:p w14:paraId="605A5068" w14:textId="77777777" w:rsidR="00F75A5B" w:rsidRDefault="00F75A5B" w:rsidP="00F3593D">
      <w:pPr>
        <w:pStyle w:val="FootnoteText"/>
      </w:pPr>
      <w:r>
        <w:rPr>
          <w:rStyle w:val="FootnoteReference"/>
        </w:rPr>
        <w:footnoteRef/>
      </w:r>
      <w:r>
        <w:t xml:space="preserve"> </w:t>
      </w:r>
      <w:r>
        <w:rPr>
          <w:rStyle w:val="FootnoteReference"/>
        </w:rPr>
        <w:footnoteRef/>
      </w:r>
      <w:r>
        <w:t xml:space="preserve"> Author for correspondence: </w:t>
      </w:r>
      <w:hyperlink r:id="rId1" w:history="1">
        <w:r w:rsidRPr="00135471">
          <w:rPr>
            <w:rStyle w:val="Hyperlink"/>
          </w:rPr>
          <w:t>nicholaraihani@gmail.com</w:t>
        </w:r>
      </w:hyperlink>
      <w:r>
        <w:t>, +44 (0)7828 329807</w:t>
      </w:r>
    </w:p>
    <w:p w14:paraId="03CB955A" w14:textId="77777777" w:rsidR="00F75A5B" w:rsidRDefault="00F75A5B" w:rsidP="00F3593D">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E25DC98-FB33-45F2-92D3-2F532DD38D22}"/>
    <w:docVar w:name="dgnword-eventsink" w:val="509932384"/>
    <w:docVar w:name="dgnword-lastRevisionsView" w:val="0"/>
  </w:docVars>
  <w:rsids>
    <w:rsidRoot w:val="00706F59"/>
    <w:rsid w:val="0002063A"/>
    <w:rsid w:val="00025884"/>
    <w:rsid w:val="0002666F"/>
    <w:rsid w:val="00047775"/>
    <w:rsid w:val="00047EBD"/>
    <w:rsid w:val="000670B6"/>
    <w:rsid w:val="000762FE"/>
    <w:rsid w:val="00076A7D"/>
    <w:rsid w:val="00091D4C"/>
    <w:rsid w:val="000B0124"/>
    <w:rsid w:val="000B2A27"/>
    <w:rsid w:val="000B3672"/>
    <w:rsid w:val="000C736A"/>
    <w:rsid w:val="000D35C0"/>
    <w:rsid w:val="000E4AF7"/>
    <w:rsid w:val="000F100B"/>
    <w:rsid w:val="00101FBB"/>
    <w:rsid w:val="0010597F"/>
    <w:rsid w:val="00110C27"/>
    <w:rsid w:val="00112B19"/>
    <w:rsid w:val="0011309D"/>
    <w:rsid w:val="00114E0D"/>
    <w:rsid w:val="00116322"/>
    <w:rsid w:val="00117448"/>
    <w:rsid w:val="00126A51"/>
    <w:rsid w:val="001334D3"/>
    <w:rsid w:val="00137E96"/>
    <w:rsid w:val="001419CD"/>
    <w:rsid w:val="00151085"/>
    <w:rsid w:val="001567A3"/>
    <w:rsid w:val="00164E47"/>
    <w:rsid w:val="0016670A"/>
    <w:rsid w:val="00181E7C"/>
    <w:rsid w:val="001A6430"/>
    <w:rsid w:val="001B64FA"/>
    <w:rsid w:val="001B67BD"/>
    <w:rsid w:val="001B6FB7"/>
    <w:rsid w:val="001B780B"/>
    <w:rsid w:val="001C1877"/>
    <w:rsid w:val="001C2C9A"/>
    <w:rsid w:val="001D4C69"/>
    <w:rsid w:val="001E03F1"/>
    <w:rsid w:val="001E52FF"/>
    <w:rsid w:val="001E7586"/>
    <w:rsid w:val="001E75AB"/>
    <w:rsid w:val="001F0E2F"/>
    <w:rsid w:val="00203879"/>
    <w:rsid w:val="0020522B"/>
    <w:rsid w:val="002116E6"/>
    <w:rsid w:val="00246654"/>
    <w:rsid w:val="00246ED4"/>
    <w:rsid w:val="00246FB3"/>
    <w:rsid w:val="00247345"/>
    <w:rsid w:val="00272007"/>
    <w:rsid w:val="002731CD"/>
    <w:rsid w:val="00274901"/>
    <w:rsid w:val="00292A70"/>
    <w:rsid w:val="0029309F"/>
    <w:rsid w:val="002B0674"/>
    <w:rsid w:val="002B19CA"/>
    <w:rsid w:val="002B4DC1"/>
    <w:rsid w:val="002C2842"/>
    <w:rsid w:val="002C2B4B"/>
    <w:rsid w:val="002C2CD5"/>
    <w:rsid w:val="002C38BB"/>
    <w:rsid w:val="002C66C9"/>
    <w:rsid w:val="002C6D29"/>
    <w:rsid w:val="002D1CBE"/>
    <w:rsid w:val="002D69FC"/>
    <w:rsid w:val="002E24FE"/>
    <w:rsid w:val="002E3913"/>
    <w:rsid w:val="002E4D3C"/>
    <w:rsid w:val="002E5CCB"/>
    <w:rsid w:val="002E63C3"/>
    <w:rsid w:val="002F2E0F"/>
    <w:rsid w:val="003017C5"/>
    <w:rsid w:val="003036F0"/>
    <w:rsid w:val="00304650"/>
    <w:rsid w:val="00304C2D"/>
    <w:rsid w:val="0030591B"/>
    <w:rsid w:val="0031441D"/>
    <w:rsid w:val="00322176"/>
    <w:rsid w:val="00341277"/>
    <w:rsid w:val="00353941"/>
    <w:rsid w:val="00354BF1"/>
    <w:rsid w:val="00360B2D"/>
    <w:rsid w:val="00362126"/>
    <w:rsid w:val="003647F5"/>
    <w:rsid w:val="003650CE"/>
    <w:rsid w:val="00366D7F"/>
    <w:rsid w:val="00370ADE"/>
    <w:rsid w:val="0037686A"/>
    <w:rsid w:val="00380F4B"/>
    <w:rsid w:val="00391BDF"/>
    <w:rsid w:val="003A49C1"/>
    <w:rsid w:val="003B0638"/>
    <w:rsid w:val="003C50DC"/>
    <w:rsid w:val="003D30D7"/>
    <w:rsid w:val="003D4FB2"/>
    <w:rsid w:val="003D5A91"/>
    <w:rsid w:val="003E1A21"/>
    <w:rsid w:val="003E4E04"/>
    <w:rsid w:val="003F18F8"/>
    <w:rsid w:val="003F5F70"/>
    <w:rsid w:val="0040035E"/>
    <w:rsid w:val="0040139A"/>
    <w:rsid w:val="00402582"/>
    <w:rsid w:val="00411134"/>
    <w:rsid w:val="00412B95"/>
    <w:rsid w:val="00416CB8"/>
    <w:rsid w:val="00421D51"/>
    <w:rsid w:val="00422B6B"/>
    <w:rsid w:val="004311CF"/>
    <w:rsid w:val="0043388F"/>
    <w:rsid w:val="00437687"/>
    <w:rsid w:val="00451FC1"/>
    <w:rsid w:val="004570C2"/>
    <w:rsid w:val="004617A0"/>
    <w:rsid w:val="00466AD5"/>
    <w:rsid w:val="00466D00"/>
    <w:rsid w:val="00477D08"/>
    <w:rsid w:val="004836B4"/>
    <w:rsid w:val="00484E8E"/>
    <w:rsid w:val="00495217"/>
    <w:rsid w:val="004A6620"/>
    <w:rsid w:val="004C20BE"/>
    <w:rsid w:val="004C7ADA"/>
    <w:rsid w:val="004D0BCA"/>
    <w:rsid w:val="004D1EC5"/>
    <w:rsid w:val="004D36AC"/>
    <w:rsid w:val="004D3F23"/>
    <w:rsid w:val="004D6FEB"/>
    <w:rsid w:val="004D752D"/>
    <w:rsid w:val="004E320D"/>
    <w:rsid w:val="004F69FD"/>
    <w:rsid w:val="00505D2F"/>
    <w:rsid w:val="00513652"/>
    <w:rsid w:val="0051575D"/>
    <w:rsid w:val="00515BFB"/>
    <w:rsid w:val="00516045"/>
    <w:rsid w:val="00517989"/>
    <w:rsid w:val="005179BA"/>
    <w:rsid w:val="00521B1C"/>
    <w:rsid w:val="005403D2"/>
    <w:rsid w:val="005437D9"/>
    <w:rsid w:val="00556D98"/>
    <w:rsid w:val="00573678"/>
    <w:rsid w:val="00576FC6"/>
    <w:rsid w:val="005849F4"/>
    <w:rsid w:val="00594D22"/>
    <w:rsid w:val="005A151E"/>
    <w:rsid w:val="005A22CE"/>
    <w:rsid w:val="005A2529"/>
    <w:rsid w:val="005A2835"/>
    <w:rsid w:val="005A56A0"/>
    <w:rsid w:val="005B0334"/>
    <w:rsid w:val="005B3206"/>
    <w:rsid w:val="005B716D"/>
    <w:rsid w:val="005D34D0"/>
    <w:rsid w:val="005D6885"/>
    <w:rsid w:val="005D78A6"/>
    <w:rsid w:val="005E5C70"/>
    <w:rsid w:val="005E79E5"/>
    <w:rsid w:val="005F025D"/>
    <w:rsid w:val="005F321F"/>
    <w:rsid w:val="0060258B"/>
    <w:rsid w:val="00614A6E"/>
    <w:rsid w:val="00620642"/>
    <w:rsid w:val="006259F3"/>
    <w:rsid w:val="00630D4D"/>
    <w:rsid w:val="00632210"/>
    <w:rsid w:val="00655883"/>
    <w:rsid w:val="006701AD"/>
    <w:rsid w:val="00682060"/>
    <w:rsid w:val="00687BDE"/>
    <w:rsid w:val="00691EB6"/>
    <w:rsid w:val="0069565D"/>
    <w:rsid w:val="006A49B9"/>
    <w:rsid w:val="006B1E05"/>
    <w:rsid w:val="006B3AF0"/>
    <w:rsid w:val="006B6640"/>
    <w:rsid w:val="006B67E7"/>
    <w:rsid w:val="006C527D"/>
    <w:rsid w:val="006E67B1"/>
    <w:rsid w:val="006F2F19"/>
    <w:rsid w:val="007005CE"/>
    <w:rsid w:val="00700616"/>
    <w:rsid w:val="007027F0"/>
    <w:rsid w:val="00703021"/>
    <w:rsid w:val="00706F59"/>
    <w:rsid w:val="007224AD"/>
    <w:rsid w:val="00724C3E"/>
    <w:rsid w:val="007338CD"/>
    <w:rsid w:val="0073721A"/>
    <w:rsid w:val="00740664"/>
    <w:rsid w:val="00756941"/>
    <w:rsid w:val="00761D03"/>
    <w:rsid w:val="00771BE9"/>
    <w:rsid w:val="007735ED"/>
    <w:rsid w:val="00776DA0"/>
    <w:rsid w:val="00782E50"/>
    <w:rsid w:val="007903B0"/>
    <w:rsid w:val="0079407A"/>
    <w:rsid w:val="007A1C4A"/>
    <w:rsid w:val="007A3DBF"/>
    <w:rsid w:val="007A5114"/>
    <w:rsid w:val="007B12FD"/>
    <w:rsid w:val="007B1AA7"/>
    <w:rsid w:val="007D3610"/>
    <w:rsid w:val="007D7C3E"/>
    <w:rsid w:val="007E05EE"/>
    <w:rsid w:val="007F3870"/>
    <w:rsid w:val="0081112D"/>
    <w:rsid w:val="00812369"/>
    <w:rsid w:val="00814F5D"/>
    <w:rsid w:val="00832EEF"/>
    <w:rsid w:val="00836D5E"/>
    <w:rsid w:val="0088525C"/>
    <w:rsid w:val="00886CEE"/>
    <w:rsid w:val="008A06CC"/>
    <w:rsid w:val="008A1C26"/>
    <w:rsid w:val="008B1AF2"/>
    <w:rsid w:val="008C33A0"/>
    <w:rsid w:val="008C5544"/>
    <w:rsid w:val="008C6A89"/>
    <w:rsid w:val="008D488A"/>
    <w:rsid w:val="008D594F"/>
    <w:rsid w:val="008E26D8"/>
    <w:rsid w:val="008E71E7"/>
    <w:rsid w:val="008F371C"/>
    <w:rsid w:val="008F4336"/>
    <w:rsid w:val="008F6C1E"/>
    <w:rsid w:val="0090057E"/>
    <w:rsid w:val="00910D45"/>
    <w:rsid w:val="009178E7"/>
    <w:rsid w:val="00920A96"/>
    <w:rsid w:val="00933C80"/>
    <w:rsid w:val="0093564B"/>
    <w:rsid w:val="00942118"/>
    <w:rsid w:val="00954213"/>
    <w:rsid w:val="0097778C"/>
    <w:rsid w:val="009777B8"/>
    <w:rsid w:val="00983363"/>
    <w:rsid w:val="009907DE"/>
    <w:rsid w:val="00991426"/>
    <w:rsid w:val="00992BCA"/>
    <w:rsid w:val="009A11A0"/>
    <w:rsid w:val="009A4ED9"/>
    <w:rsid w:val="009A5591"/>
    <w:rsid w:val="009A5DD7"/>
    <w:rsid w:val="009A737E"/>
    <w:rsid w:val="009B0159"/>
    <w:rsid w:val="009C392D"/>
    <w:rsid w:val="009C433C"/>
    <w:rsid w:val="009D713E"/>
    <w:rsid w:val="009F5593"/>
    <w:rsid w:val="009F67EF"/>
    <w:rsid w:val="009F7FF5"/>
    <w:rsid w:val="00A04A2E"/>
    <w:rsid w:val="00A06DEE"/>
    <w:rsid w:val="00A140E9"/>
    <w:rsid w:val="00A20F92"/>
    <w:rsid w:val="00A2242A"/>
    <w:rsid w:val="00A2706F"/>
    <w:rsid w:val="00A2754A"/>
    <w:rsid w:val="00A5378D"/>
    <w:rsid w:val="00A55945"/>
    <w:rsid w:val="00A612C7"/>
    <w:rsid w:val="00A61A05"/>
    <w:rsid w:val="00A62A32"/>
    <w:rsid w:val="00A638FB"/>
    <w:rsid w:val="00A63D39"/>
    <w:rsid w:val="00A67580"/>
    <w:rsid w:val="00A72E2A"/>
    <w:rsid w:val="00AA401F"/>
    <w:rsid w:val="00AD0554"/>
    <w:rsid w:val="00AD5D06"/>
    <w:rsid w:val="00AE08E8"/>
    <w:rsid w:val="00AE1573"/>
    <w:rsid w:val="00AE4715"/>
    <w:rsid w:val="00AE7F8D"/>
    <w:rsid w:val="00AF0AEF"/>
    <w:rsid w:val="00AF4B3E"/>
    <w:rsid w:val="00AF750B"/>
    <w:rsid w:val="00B00CC2"/>
    <w:rsid w:val="00B01FE2"/>
    <w:rsid w:val="00B10F3A"/>
    <w:rsid w:val="00B11390"/>
    <w:rsid w:val="00B331CF"/>
    <w:rsid w:val="00B359F2"/>
    <w:rsid w:val="00B3642F"/>
    <w:rsid w:val="00B40068"/>
    <w:rsid w:val="00B40653"/>
    <w:rsid w:val="00B45CA7"/>
    <w:rsid w:val="00B5325E"/>
    <w:rsid w:val="00B556B0"/>
    <w:rsid w:val="00B804F5"/>
    <w:rsid w:val="00B84D4B"/>
    <w:rsid w:val="00B90F2C"/>
    <w:rsid w:val="00B96298"/>
    <w:rsid w:val="00B97CC7"/>
    <w:rsid w:val="00B97DD7"/>
    <w:rsid w:val="00BA441A"/>
    <w:rsid w:val="00BB0343"/>
    <w:rsid w:val="00BB0A3F"/>
    <w:rsid w:val="00BB4253"/>
    <w:rsid w:val="00BB65F9"/>
    <w:rsid w:val="00BB6E31"/>
    <w:rsid w:val="00BB7A22"/>
    <w:rsid w:val="00BC3FCB"/>
    <w:rsid w:val="00BD636C"/>
    <w:rsid w:val="00BE19A8"/>
    <w:rsid w:val="00BE3EAB"/>
    <w:rsid w:val="00BE6925"/>
    <w:rsid w:val="00BE7B26"/>
    <w:rsid w:val="00BF017A"/>
    <w:rsid w:val="00C04463"/>
    <w:rsid w:val="00C16711"/>
    <w:rsid w:val="00C20C4C"/>
    <w:rsid w:val="00C22D1F"/>
    <w:rsid w:val="00C24239"/>
    <w:rsid w:val="00C366A4"/>
    <w:rsid w:val="00C47381"/>
    <w:rsid w:val="00C51EAF"/>
    <w:rsid w:val="00C520CE"/>
    <w:rsid w:val="00C665FE"/>
    <w:rsid w:val="00C6672F"/>
    <w:rsid w:val="00C86DB4"/>
    <w:rsid w:val="00CA2A47"/>
    <w:rsid w:val="00CA60D9"/>
    <w:rsid w:val="00CB3D5D"/>
    <w:rsid w:val="00CC4924"/>
    <w:rsid w:val="00CD509A"/>
    <w:rsid w:val="00CD61BF"/>
    <w:rsid w:val="00CD7EA1"/>
    <w:rsid w:val="00CE6208"/>
    <w:rsid w:val="00CE6277"/>
    <w:rsid w:val="00CF0841"/>
    <w:rsid w:val="00CF3269"/>
    <w:rsid w:val="00D005C7"/>
    <w:rsid w:val="00D0760E"/>
    <w:rsid w:val="00D07E5B"/>
    <w:rsid w:val="00D1182B"/>
    <w:rsid w:val="00D21875"/>
    <w:rsid w:val="00D27312"/>
    <w:rsid w:val="00D3740F"/>
    <w:rsid w:val="00D5070D"/>
    <w:rsid w:val="00D51183"/>
    <w:rsid w:val="00D513C4"/>
    <w:rsid w:val="00D55A5A"/>
    <w:rsid w:val="00D55B8C"/>
    <w:rsid w:val="00D647A1"/>
    <w:rsid w:val="00D673FE"/>
    <w:rsid w:val="00D67AE9"/>
    <w:rsid w:val="00D72BD3"/>
    <w:rsid w:val="00D75187"/>
    <w:rsid w:val="00D75811"/>
    <w:rsid w:val="00D75C9F"/>
    <w:rsid w:val="00DB364A"/>
    <w:rsid w:val="00DB66A9"/>
    <w:rsid w:val="00DE429C"/>
    <w:rsid w:val="00DF1864"/>
    <w:rsid w:val="00DF5371"/>
    <w:rsid w:val="00E319B0"/>
    <w:rsid w:val="00E36EEF"/>
    <w:rsid w:val="00E40165"/>
    <w:rsid w:val="00E444E0"/>
    <w:rsid w:val="00E46B7A"/>
    <w:rsid w:val="00E542BE"/>
    <w:rsid w:val="00E60FE0"/>
    <w:rsid w:val="00E71AD8"/>
    <w:rsid w:val="00E761C3"/>
    <w:rsid w:val="00E82EE2"/>
    <w:rsid w:val="00E84DB2"/>
    <w:rsid w:val="00E870FD"/>
    <w:rsid w:val="00E873DB"/>
    <w:rsid w:val="00E926C9"/>
    <w:rsid w:val="00E92998"/>
    <w:rsid w:val="00EA06B7"/>
    <w:rsid w:val="00EA1F7C"/>
    <w:rsid w:val="00EA5D6D"/>
    <w:rsid w:val="00EC1749"/>
    <w:rsid w:val="00EC3ABB"/>
    <w:rsid w:val="00EC5B5F"/>
    <w:rsid w:val="00ED0D53"/>
    <w:rsid w:val="00EE262B"/>
    <w:rsid w:val="00EE367F"/>
    <w:rsid w:val="00EF71A5"/>
    <w:rsid w:val="00EF7CD0"/>
    <w:rsid w:val="00F018BB"/>
    <w:rsid w:val="00F04352"/>
    <w:rsid w:val="00F071E1"/>
    <w:rsid w:val="00F1726A"/>
    <w:rsid w:val="00F2597B"/>
    <w:rsid w:val="00F26B79"/>
    <w:rsid w:val="00F3593D"/>
    <w:rsid w:val="00F4410C"/>
    <w:rsid w:val="00F54B32"/>
    <w:rsid w:val="00F57C4A"/>
    <w:rsid w:val="00F57C5D"/>
    <w:rsid w:val="00F75A5B"/>
    <w:rsid w:val="00F76682"/>
    <w:rsid w:val="00F9512D"/>
    <w:rsid w:val="00F9681A"/>
    <w:rsid w:val="00F9759B"/>
    <w:rsid w:val="00FA1745"/>
    <w:rsid w:val="00FA3C67"/>
    <w:rsid w:val="00FA7C84"/>
    <w:rsid w:val="00FB72B2"/>
    <w:rsid w:val="00FC379B"/>
    <w:rsid w:val="00FD47AA"/>
    <w:rsid w:val="00FF0F57"/>
    <w:rsid w:val="00FF277F"/>
    <w:rsid w:val="00FF50F3"/>
    <w:rsid w:val="00FF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425B5"/>
  <w15:chartTrackingRefBased/>
  <w15:docId w15:val="{39C8952F-5030-9A4A-AF27-9D87BD192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24C3E"/>
  </w:style>
  <w:style w:type="character" w:styleId="Hyperlink">
    <w:name w:val="Hyperlink"/>
    <w:basedOn w:val="DefaultParagraphFont"/>
    <w:uiPriority w:val="99"/>
    <w:unhideWhenUsed/>
    <w:rsid w:val="00AF0AEF"/>
    <w:rPr>
      <w:color w:val="0563C1" w:themeColor="hyperlink"/>
      <w:u w:val="single"/>
    </w:rPr>
  </w:style>
  <w:style w:type="character" w:customStyle="1" w:styleId="UnresolvedMention1">
    <w:name w:val="Unresolved Mention1"/>
    <w:basedOn w:val="DefaultParagraphFont"/>
    <w:uiPriority w:val="99"/>
    <w:semiHidden/>
    <w:unhideWhenUsed/>
    <w:rsid w:val="008F4336"/>
    <w:rPr>
      <w:color w:val="605E5C"/>
      <w:shd w:val="clear" w:color="auto" w:fill="E1DFDD"/>
    </w:rPr>
  </w:style>
  <w:style w:type="paragraph" w:styleId="Header">
    <w:name w:val="header"/>
    <w:basedOn w:val="Normal"/>
    <w:link w:val="HeaderChar"/>
    <w:uiPriority w:val="99"/>
    <w:unhideWhenUsed/>
    <w:rsid w:val="004617A0"/>
    <w:pPr>
      <w:tabs>
        <w:tab w:val="center" w:pos="4513"/>
        <w:tab w:val="right" w:pos="9026"/>
      </w:tabs>
    </w:pPr>
  </w:style>
  <w:style w:type="character" w:customStyle="1" w:styleId="HeaderChar">
    <w:name w:val="Header Char"/>
    <w:basedOn w:val="DefaultParagraphFont"/>
    <w:link w:val="Header"/>
    <w:uiPriority w:val="99"/>
    <w:rsid w:val="004617A0"/>
  </w:style>
  <w:style w:type="paragraph" w:styleId="Footer">
    <w:name w:val="footer"/>
    <w:basedOn w:val="Normal"/>
    <w:link w:val="FooterChar"/>
    <w:uiPriority w:val="99"/>
    <w:unhideWhenUsed/>
    <w:rsid w:val="004617A0"/>
    <w:pPr>
      <w:tabs>
        <w:tab w:val="center" w:pos="4513"/>
        <w:tab w:val="right" w:pos="9026"/>
      </w:tabs>
    </w:pPr>
  </w:style>
  <w:style w:type="character" w:customStyle="1" w:styleId="FooterChar">
    <w:name w:val="Footer Char"/>
    <w:basedOn w:val="DefaultParagraphFont"/>
    <w:link w:val="Footer"/>
    <w:uiPriority w:val="99"/>
    <w:rsid w:val="004617A0"/>
  </w:style>
  <w:style w:type="paragraph" w:styleId="BalloonText">
    <w:name w:val="Balloon Text"/>
    <w:basedOn w:val="Normal"/>
    <w:link w:val="BalloonTextChar"/>
    <w:uiPriority w:val="99"/>
    <w:semiHidden/>
    <w:unhideWhenUsed/>
    <w:rsid w:val="00F043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435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D1CBE"/>
    <w:rPr>
      <w:sz w:val="18"/>
      <w:szCs w:val="18"/>
    </w:rPr>
  </w:style>
  <w:style w:type="paragraph" w:styleId="CommentText">
    <w:name w:val="annotation text"/>
    <w:basedOn w:val="Normal"/>
    <w:link w:val="CommentTextChar"/>
    <w:uiPriority w:val="99"/>
    <w:semiHidden/>
    <w:unhideWhenUsed/>
    <w:rsid w:val="002D1CBE"/>
  </w:style>
  <w:style w:type="character" w:customStyle="1" w:styleId="CommentTextChar">
    <w:name w:val="Comment Text Char"/>
    <w:basedOn w:val="DefaultParagraphFont"/>
    <w:link w:val="CommentText"/>
    <w:uiPriority w:val="99"/>
    <w:semiHidden/>
    <w:rsid w:val="002D1CBE"/>
  </w:style>
  <w:style w:type="paragraph" w:styleId="CommentSubject">
    <w:name w:val="annotation subject"/>
    <w:basedOn w:val="CommentText"/>
    <w:next w:val="CommentText"/>
    <w:link w:val="CommentSubjectChar"/>
    <w:uiPriority w:val="99"/>
    <w:semiHidden/>
    <w:unhideWhenUsed/>
    <w:rsid w:val="002D1CBE"/>
    <w:rPr>
      <w:b/>
      <w:bCs/>
      <w:sz w:val="20"/>
      <w:szCs w:val="20"/>
    </w:rPr>
  </w:style>
  <w:style w:type="character" w:customStyle="1" w:styleId="CommentSubjectChar">
    <w:name w:val="Comment Subject Char"/>
    <w:basedOn w:val="CommentTextChar"/>
    <w:link w:val="CommentSubject"/>
    <w:uiPriority w:val="99"/>
    <w:semiHidden/>
    <w:rsid w:val="002D1CBE"/>
    <w:rPr>
      <w:b/>
      <w:bCs/>
      <w:sz w:val="20"/>
      <w:szCs w:val="20"/>
    </w:rPr>
  </w:style>
  <w:style w:type="character" w:styleId="Strong">
    <w:name w:val="Strong"/>
    <w:basedOn w:val="DefaultParagraphFont"/>
    <w:uiPriority w:val="22"/>
    <w:qFormat/>
    <w:rsid w:val="00E873DB"/>
    <w:rPr>
      <w:b/>
      <w:bCs/>
    </w:rPr>
  </w:style>
  <w:style w:type="paragraph" w:styleId="Bibliography">
    <w:name w:val="Bibliography"/>
    <w:basedOn w:val="Normal"/>
    <w:next w:val="Normal"/>
    <w:uiPriority w:val="37"/>
    <w:unhideWhenUsed/>
    <w:rsid w:val="00EF71A5"/>
    <w:pPr>
      <w:spacing w:after="240"/>
    </w:pPr>
  </w:style>
  <w:style w:type="character" w:customStyle="1" w:styleId="UnresolvedMention2">
    <w:name w:val="Unresolved Mention2"/>
    <w:basedOn w:val="DefaultParagraphFont"/>
    <w:uiPriority w:val="99"/>
    <w:semiHidden/>
    <w:unhideWhenUsed/>
    <w:rsid w:val="00B3642F"/>
    <w:rPr>
      <w:color w:val="605E5C"/>
      <w:shd w:val="clear" w:color="auto" w:fill="E1DFDD"/>
    </w:rPr>
  </w:style>
  <w:style w:type="paragraph" w:styleId="Revision">
    <w:name w:val="Revision"/>
    <w:hidden/>
    <w:uiPriority w:val="99"/>
    <w:semiHidden/>
    <w:rsid w:val="00D005C7"/>
  </w:style>
  <w:style w:type="paragraph" w:styleId="FootnoteText">
    <w:name w:val="footnote text"/>
    <w:basedOn w:val="Normal"/>
    <w:link w:val="FootnoteTextChar"/>
    <w:uiPriority w:val="99"/>
    <w:semiHidden/>
    <w:unhideWhenUsed/>
    <w:rsid w:val="00F3593D"/>
    <w:rPr>
      <w:sz w:val="20"/>
      <w:szCs w:val="20"/>
    </w:rPr>
  </w:style>
  <w:style w:type="character" w:customStyle="1" w:styleId="FootnoteTextChar">
    <w:name w:val="Footnote Text Char"/>
    <w:basedOn w:val="DefaultParagraphFont"/>
    <w:link w:val="FootnoteText"/>
    <w:uiPriority w:val="99"/>
    <w:semiHidden/>
    <w:rsid w:val="00F3593D"/>
    <w:rPr>
      <w:sz w:val="20"/>
      <w:szCs w:val="20"/>
    </w:rPr>
  </w:style>
  <w:style w:type="character" w:styleId="FootnoteReference">
    <w:name w:val="footnote reference"/>
    <w:basedOn w:val="DefaultParagraphFont"/>
    <w:uiPriority w:val="99"/>
    <w:semiHidden/>
    <w:unhideWhenUsed/>
    <w:rsid w:val="00F3593D"/>
    <w:rPr>
      <w:vertAlign w:val="superscript"/>
    </w:rPr>
  </w:style>
  <w:style w:type="paragraph" w:customStyle="1" w:styleId="TableContents">
    <w:name w:val="Table Contents"/>
    <w:basedOn w:val="Normal"/>
    <w:rsid w:val="00D51183"/>
    <w:pPr>
      <w:widowControl w:val="0"/>
      <w:suppressLineNumbers/>
      <w:suppressAutoHyphens/>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594988">
      <w:bodyDiv w:val="1"/>
      <w:marLeft w:val="0"/>
      <w:marRight w:val="0"/>
      <w:marTop w:val="0"/>
      <w:marBottom w:val="0"/>
      <w:divBdr>
        <w:top w:val="none" w:sz="0" w:space="0" w:color="auto"/>
        <w:left w:val="none" w:sz="0" w:space="0" w:color="auto"/>
        <w:bottom w:val="none" w:sz="0" w:space="0" w:color="auto"/>
        <w:right w:val="none" w:sz="0" w:space="0" w:color="auto"/>
      </w:divBdr>
    </w:div>
    <w:div w:id="1859735176">
      <w:bodyDiv w:val="1"/>
      <w:marLeft w:val="0"/>
      <w:marRight w:val="0"/>
      <w:marTop w:val="0"/>
      <w:marBottom w:val="0"/>
      <w:divBdr>
        <w:top w:val="none" w:sz="0" w:space="0" w:color="auto"/>
        <w:left w:val="none" w:sz="0" w:space="0" w:color="auto"/>
        <w:bottom w:val="none" w:sz="0" w:space="0" w:color="auto"/>
        <w:right w:val="none" w:sz="0" w:space="0" w:color="auto"/>
      </w:divBdr>
      <w:divsChild>
        <w:div w:id="1393232438">
          <w:marLeft w:val="0"/>
          <w:marRight w:val="0"/>
          <w:marTop w:val="0"/>
          <w:marBottom w:val="0"/>
          <w:divBdr>
            <w:top w:val="none" w:sz="0" w:space="0" w:color="auto"/>
            <w:left w:val="none" w:sz="0" w:space="0" w:color="auto"/>
            <w:bottom w:val="none" w:sz="0" w:space="0" w:color="auto"/>
            <w:right w:val="none" w:sz="0" w:space="0" w:color="auto"/>
          </w:divBdr>
        </w:div>
        <w:div w:id="856844910">
          <w:marLeft w:val="0"/>
          <w:marRight w:val="0"/>
          <w:marTop w:val="0"/>
          <w:marBottom w:val="0"/>
          <w:divBdr>
            <w:top w:val="none" w:sz="0" w:space="0" w:color="auto"/>
            <w:left w:val="none" w:sz="0" w:space="0" w:color="auto"/>
            <w:bottom w:val="none" w:sz="0" w:space="0" w:color="auto"/>
            <w:right w:val="none" w:sz="0" w:space="0" w:color="auto"/>
          </w:divBdr>
        </w:div>
        <w:div w:id="767769557">
          <w:marLeft w:val="0"/>
          <w:marRight w:val="0"/>
          <w:marTop w:val="0"/>
          <w:marBottom w:val="0"/>
          <w:divBdr>
            <w:top w:val="none" w:sz="0" w:space="0" w:color="auto"/>
            <w:left w:val="none" w:sz="0" w:space="0" w:color="auto"/>
            <w:bottom w:val="none" w:sz="0" w:space="0" w:color="auto"/>
            <w:right w:val="none" w:sz="0" w:space="0" w:color="auto"/>
          </w:divBdr>
        </w:div>
      </w:divsChild>
    </w:div>
    <w:div w:id="1919172786">
      <w:bodyDiv w:val="1"/>
      <w:marLeft w:val="0"/>
      <w:marRight w:val="0"/>
      <w:marTop w:val="0"/>
      <w:marBottom w:val="0"/>
      <w:divBdr>
        <w:top w:val="none" w:sz="0" w:space="0" w:color="auto"/>
        <w:left w:val="none" w:sz="0" w:space="0" w:color="auto"/>
        <w:bottom w:val="none" w:sz="0" w:space="0" w:color="auto"/>
        <w:right w:val="none" w:sz="0" w:space="0" w:color="auto"/>
      </w:divBdr>
      <w:divsChild>
        <w:div w:id="583299213">
          <w:marLeft w:val="0"/>
          <w:marRight w:val="0"/>
          <w:marTop w:val="0"/>
          <w:marBottom w:val="0"/>
          <w:divBdr>
            <w:top w:val="none" w:sz="0" w:space="0" w:color="auto"/>
            <w:left w:val="none" w:sz="0" w:space="0" w:color="auto"/>
            <w:bottom w:val="none" w:sz="0" w:space="0" w:color="auto"/>
            <w:right w:val="none" w:sz="0" w:space="0" w:color="auto"/>
          </w:divBdr>
        </w:div>
        <w:div w:id="2120447937">
          <w:marLeft w:val="0"/>
          <w:marRight w:val="0"/>
          <w:marTop w:val="0"/>
          <w:marBottom w:val="0"/>
          <w:divBdr>
            <w:top w:val="none" w:sz="0" w:space="0" w:color="auto"/>
            <w:left w:val="none" w:sz="0" w:space="0" w:color="auto"/>
            <w:bottom w:val="none" w:sz="0" w:space="0" w:color="auto"/>
            <w:right w:val="none" w:sz="0" w:space="0" w:color="auto"/>
          </w:divBdr>
        </w:div>
        <w:div w:id="1679850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mailto:nicholaraihan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90AE-4322-3246-849D-30AECCD8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24637</Words>
  <Characters>140433</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Raihani, Nichola</cp:lastModifiedBy>
  <cp:revision>4</cp:revision>
  <cp:lastPrinted>2019-09-30T08:06:00Z</cp:lastPrinted>
  <dcterms:created xsi:type="dcterms:W3CDTF">2020-07-07T09:45:00Z</dcterms:created>
  <dcterms:modified xsi:type="dcterms:W3CDTF">2020-07-24T10:00:00Z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id="iyQYOOSa"/&gt;&lt;style id="http://www.zotero.org/styles/cell" hasBibliography="1" bibliographyStyleHasBeenSet="1"/&gt;&lt;prefs&gt;&lt;pref name="fieldType" value="Field"/&gt;&lt;pref name="automaticJournalAbbreviation</vt:lpwstr>
  </property>
  <property fmtid="{D5CDD505-2E9C-101B-9397-08002B2CF9AE}" pid="3" name="ZOTERO_PREF_2">
    <vt:lpwstr>s" value="true"/&gt;&lt;/prefs&gt;&lt;/data&gt;</vt:lpwstr>
  </property>
</Properties>
</file>